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514096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Ku band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4.2.7.4</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rPr>
          <w:lang w:val="en-US" w:eastAsia="zh-CN"/>
        </w:rPr>
      </w:pPr>
      <w:r>
        <w:rPr>
          <w:rFonts w:hint="eastAsia" w:eastAsia="宋体"/>
          <w:sz w:val="22"/>
          <w:lang w:val="en-US" w:eastAsia="zh-CN"/>
        </w:rPr>
        <w:t>At RAN #107 meeting the revised WI“Introduction of Ku bands for NR NTN”[1] was approved. In the WID, Ku bands have been introduced for NR NTN with the mobile VSAT UE. In #11</w:t>
      </w:r>
      <w:r>
        <w:rPr>
          <w:rFonts w:eastAsia="宋体"/>
          <w:sz w:val="22"/>
          <w:lang w:val="en-US" w:eastAsia="zh-CN"/>
        </w:rPr>
        <w:t>6</w:t>
      </w:r>
      <w:r>
        <w:rPr>
          <w:rFonts w:hint="eastAsia" w:eastAsia="宋体"/>
          <w:sz w:val="22"/>
          <w:lang w:val="en-US" w:eastAsia="zh-CN"/>
        </w:rPr>
        <w:t xml:space="preserve"> meeting we will specify the </w:t>
      </w:r>
      <w:r>
        <w:rPr>
          <w:rFonts w:eastAsia="宋体"/>
          <w:sz w:val="22"/>
          <w:lang w:val="en-US" w:eastAsia="zh-CN"/>
        </w:rPr>
        <w:t>remaining issues</w:t>
      </w:r>
      <w:r>
        <w:rPr>
          <w:rFonts w:hint="eastAsia" w:eastAsia="宋体"/>
          <w:sz w:val="22"/>
          <w:lang w:val="en-US" w:eastAsia="zh-CN"/>
        </w:rPr>
        <w:t xml:space="preserve"> on the topics. </w:t>
      </w:r>
      <w:r>
        <w:rPr>
          <w:rFonts w:hint="eastAsia"/>
          <w:lang w:val="en-US" w:eastAsia="zh-CN"/>
        </w:rPr>
        <w:t>In current WID description, RAN4</w:t>
      </w:r>
      <w:r>
        <w:rPr>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rPr>
                <w:bCs/>
                <w:lang w:val="en-US"/>
              </w:rPr>
            </w:pPr>
            <w:r>
              <w:rPr>
                <w:rFonts w:eastAsia="PMingLiU"/>
                <w:iCs/>
                <w:lang w:val="en-US" w:eastAsia="zh-CN" w:bidi="ar"/>
              </w:rPr>
              <w:t>The objectives are:</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bCs/>
                <w:lang w:val="en-US"/>
              </w:rPr>
              <w:t>Use the regulation requirements in ITU Regions 1, 2 and 3 to identify relevant adjacent band co-existence scenarios for NTN Ku Band covering the following frequency ranges, considering targeted deployment scenarios:</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For ITU regions 1 and 3:</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12.75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13.75-14.5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For ITU regions 2</w:t>
            </w:r>
            <w:r>
              <w:rPr>
                <w:rFonts w:eastAsia="PMingLiU"/>
                <w:lang w:val="en-US"/>
              </w:rPr>
              <w:t xml:space="preserve"> (The US is in scope for the WI using the current allocation of the Ku band. The band introduction in specification is pending FCC decision)</w:t>
            </w:r>
            <w:r>
              <w:rPr>
                <w:rFonts w:eastAsia="PMingLiU"/>
                <w:bCs/>
                <w:lang w:val="en-US"/>
              </w:rPr>
              <w:t>:</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12.70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13.75-14.5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For ITU regions 1 and 3</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12.75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12.75 - 13.25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 xml:space="preserve">For ITU regions 2 </w:t>
            </w:r>
            <w:r>
              <w:rPr>
                <w:rFonts w:eastAsia="PMingLiU"/>
                <w:lang w:val="en-US"/>
              </w:rPr>
              <w:t>(The US is in scope for the WI using the current allocation of the Ku band. The band introduction in specification is pending FCC decision):</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12.70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12.70 - 13.25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Note: Appropriate Tx/Rx separation for uplink downlink pairing will be required.</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bCs/>
                <w:lang w:val="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bCs/>
                <w:lang w:val="en-US"/>
              </w:rPr>
              <w:t>Specify RF requirements for mobile VSAT served by NGSO and GSO based on existing mobile VSAT type 5 RF requirements</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lang w:val="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numPr>
                <w:ilvl w:val="0"/>
                <w:numId w:val="4"/>
              </w:numPr>
              <w:autoSpaceDN w:val="0"/>
              <w:spacing w:after="160" w:line="256" w:lineRule="auto"/>
              <w:contextualSpacing/>
              <w:jc w:val="both"/>
              <w:rPr>
                <w:sz w:val="20"/>
                <w:lang w:val="en-US"/>
              </w:rPr>
            </w:pPr>
            <w:r>
              <w:rPr>
                <w:sz w:val="20"/>
                <w:lang w:val="en-US"/>
              </w:rPr>
              <w:t>Priority 1: for all ITU regions, define Ku band #1a and #1b for the downlink block and uplink block B. D</w:t>
            </w:r>
            <w:r>
              <w:rPr>
                <w:sz w:val="20"/>
                <w:lang w:val="en-US" w:eastAsia="zh-TW"/>
              </w:rPr>
              <w:t>efine two sets of bands, one for FR1 numerology and the other for FR2 numerology, including the support of the following:</w:t>
            </w:r>
          </w:p>
          <w:p>
            <w:pPr>
              <w:pStyle w:val="29"/>
              <w:numPr>
                <w:ilvl w:val="1"/>
                <w:numId w:val="4"/>
              </w:numPr>
              <w:autoSpaceDN w:val="0"/>
              <w:spacing w:after="160" w:line="256" w:lineRule="auto"/>
              <w:contextualSpacing/>
              <w:jc w:val="both"/>
              <w:rPr>
                <w:sz w:val="20"/>
                <w:highlight w:val="yellow"/>
                <w:lang w:val="en-US"/>
              </w:rPr>
            </w:pPr>
            <w:r>
              <w:rPr>
                <w:sz w:val="20"/>
                <w:highlight w:val="yellow"/>
                <w:lang w:val="en-US"/>
              </w:rPr>
              <w:t>Ku band #1a and #1b as FR1-NTN supporting</w:t>
            </w:r>
            <w:r>
              <w:rPr>
                <w:sz w:val="20"/>
                <w:highlight w:val="yellow"/>
                <w:lang w:val="en-US" w:eastAsia="zh-TW"/>
              </w:rPr>
              <w:t xml:space="preserve"> </w:t>
            </w:r>
            <w:r>
              <w:rPr>
                <w:sz w:val="20"/>
                <w:highlight w:val="yellow"/>
                <w:lang w:val="en-US"/>
              </w:rPr>
              <w:t>10 MHz</w:t>
            </w:r>
            <w:r>
              <w:rPr>
                <w:sz w:val="20"/>
                <w:highlight w:val="yellow"/>
                <w:lang w:val="en-US" w:eastAsia="zh-TW"/>
              </w:rPr>
              <w:t>,</w:t>
            </w:r>
            <w:r>
              <w:rPr>
                <w:sz w:val="20"/>
                <w:highlight w:val="yellow"/>
                <w:lang w:val="en-US"/>
              </w:rPr>
              <w:t xml:space="preserve"> 20 MHz, 25 MHz, 35 MHz, 50 MHz, 70 MHz and 100 MHz channel bandwidths with 30 kHz subcarrier spacing, and 10MHz, 15MHz, 25MHz, 35MHz and 50MHz channel bandwidths with 15 kHz subcarrier spacing. </w:t>
            </w:r>
          </w:p>
          <w:p>
            <w:pPr>
              <w:pStyle w:val="29"/>
              <w:numPr>
                <w:ilvl w:val="2"/>
                <w:numId w:val="4"/>
              </w:numPr>
              <w:autoSpaceDN w:val="0"/>
              <w:spacing w:after="160" w:line="256" w:lineRule="auto"/>
              <w:contextualSpacing/>
              <w:jc w:val="both"/>
              <w:rPr>
                <w:sz w:val="20"/>
                <w:highlight w:val="yellow"/>
                <w:lang w:val="en-US"/>
              </w:rPr>
            </w:pPr>
            <w:r>
              <w:rPr>
                <w:sz w:val="20"/>
                <w:highlight w:val="yellow"/>
                <w:lang w:val="en-US"/>
              </w:rPr>
              <w:t>Note: Same subcarrier spacing is assumed for SSB and data channels</w:t>
            </w:r>
          </w:p>
          <w:p>
            <w:pPr>
              <w:pStyle w:val="29"/>
              <w:numPr>
                <w:ilvl w:val="1"/>
                <w:numId w:val="4"/>
              </w:numPr>
              <w:autoSpaceDN w:val="0"/>
              <w:spacing w:after="160" w:line="256" w:lineRule="auto"/>
              <w:contextualSpacing/>
              <w:jc w:val="both"/>
              <w:rPr>
                <w:sz w:val="20"/>
                <w:highlight w:val="yellow"/>
                <w:lang w:val="en-US"/>
              </w:rPr>
            </w:pPr>
            <w:r>
              <w:rPr>
                <w:sz w:val="20"/>
                <w:highlight w:val="yellow"/>
                <w:lang w:val="en-US"/>
              </w:rPr>
              <w:t>Ku band #1a and #1b as FR2-NTN supporting 50 MHz, 100 MHz, 200 MHz, 400 MHz (120kHz SCS only) channel bandwidths with 120 kHz subcarrier spacing</w:t>
            </w:r>
            <w:r>
              <w:rPr>
                <w:sz w:val="20"/>
                <w:highlight w:val="yellow"/>
                <w:lang w:val="en-US" w:eastAsia="zh-TW"/>
              </w:rPr>
              <w:t>.</w:t>
            </w:r>
          </w:p>
          <w:p>
            <w:pPr>
              <w:pStyle w:val="29"/>
              <w:numPr>
                <w:ilvl w:val="1"/>
                <w:numId w:val="4"/>
              </w:numPr>
              <w:autoSpaceDN w:val="0"/>
              <w:spacing w:after="160" w:line="256" w:lineRule="auto"/>
              <w:contextualSpacing/>
              <w:jc w:val="both"/>
              <w:rPr>
                <w:sz w:val="20"/>
                <w:highlight w:val="yellow"/>
                <w:lang w:val="en-US"/>
              </w:rPr>
            </w:pPr>
            <w:r>
              <w:rPr>
                <w:sz w:val="20"/>
                <w:highlight w:val="yellow"/>
                <w:lang w:val="en-US" w:eastAsia="zh-TW"/>
              </w:rPr>
              <w:t>Note: Simultaneous operation of FR1-NTN and FR2-NTN numerology is not supported in the UE</w:t>
            </w:r>
          </w:p>
          <w:p>
            <w:pPr>
              <w:pStyle w:val="29"/>
              <w:numPr>
                <w:ilvl w:val="0"/>
                <w:numId w:val="4"/>
              </w:numPr>
              <w:autoSpaceDN w:val="0"/>
              <w:spacing w:after="160" w:line="256" w:lineRule="auto"/>
              <w:contextualSpacing/>
              <w:jc w:val="both"/>
              <w:rPr>
                <w:sz w:val="20"/>
                <w:lang w:val="en-US"/>
              </w:rPr>
            </w:pPr>
            <w:r>
              <w:rPr>
                <w:sz w:val="20"/>
                <w:lang w:val="en-US"/>
              </w:rPr>
              <w:t>Priority 2: for all ITU regions excluding the US in region 2, using the approach in Priority 1, define Ku band #2a and #2b as appropriate for the downlink block and uplink block A.</w:t>
            </w:r>
          </w:p>
          <w:p>
            <w:pPr>
              <w:pStyle w:val="29"/>
              <w:numPr>
                <w:ilvl w:val="0"/>
                <w:numId w:val="4"/>
              </w:numPr>
              <w:autoSpaceDN w:val="0"/>
              <w:spacing w:after="0" w:line="256" w:lineRule="auto"/>
              <w:contextualSpacing/>
              <w:jc w:val="both"/>
              <w:rPr>
                <w:sz w:val="20"/>
                <w:highlight w:val="yellow"/>
                <w:lang w:val="en-US"/>
              </w:rPr>
            </w:pPr>
            <w:r>
              <w:rPr>
                <w:sz w:val="20"/>
                <w:highlight w:val="yellow"/>
                <w:lang w:val="en-US"/>
              </w:rPr>
              <w:t>Specify RRM requirements including timing requirements for mobile VSAT served by NGSO</w:t>
            </w:r>
          </w:p>
          <w:p>
            <w:pPr>
              <w:pStyle w:val="29"/>
              <w:numPr>
                <w:ilvl w:val="1"/>
                <w:numId w:val="4"/>
              </w:numPr>
              <w:autoSpaceDN w:val="0"/>
              <w:spacing w:after="0" w:line="256" w:lineRule="auto"/>
              <w:contextualSpacing/>
              <w:jc w:val="both"/>
              <w:rPr>
                <w:sz w:val="20"/>
                <w:highlight w:val="yellow"/>
                <w:lang w:val="en-US"/>
              </w:rPr>
            </w:pPr>
            <w:r>
              <w:rPr>
                <w:sz w:val="20"/>
                <w:highlight w:val="yellow"/>
                <w:lang w:val="en-US"/>
              </w:rPr>
              <w:t>NOTE:</w:t>
            </w:r>
            <w:r>
              <w:rPr>
                <w:sz w:val="20"/>
                <w:highlight w:val="yellow"/>
                <w:lang w:val="en-US"/>
              </w:rPr>
              <w:tab/>
            </w:r>
            <w:r>
              <w:rPr>
                <w:sz w:val="20"/>
                <w:highlight w:val="yellow"/>
                <w:lang w:val="en-US"/>
              </w:rPr>
              <w:t>RRM requirements are defined for VSAT supporting FR1-NTN operation only, or for FR2-NTN operation only.</w:t>
            </w:r>
          </w:p>
          <w:p>
            <w:pPr>
              <w:spacing w:after="0"/>
              <w:ind w:left="360"/>
              <w:rPr>
                <w:rFonts w:eastAsia="宋体"/>
              </w:rPr>
            </w:pPr>
          </w:p>
        </w:tc>
      </w:tr>
    </w:tbl>
    <w:p>
      <w:pPr>
        <w:pStyle w:val="77"/>
        <w:rPr>
          <w:lang w:val="en-US" w:eastAsia="zh-CN"/>
        </w:rPr>
      </w:pPr>
      <w:r>
        <w:rPr>
          <w:lang w:val="en-US"/>
        </w:rPr>
        <w:t>Discussion</w:t>
      </w:r>
    </w:p>
    <w:p>
      <w:pPr>
        <w:pStyle w:val="79"/>
        <w:numPr>
          <w:ilvl w:val="1"/>
          <w:numId w:val="0"/>
        </w:numPr>
        <w:rPr>
          <w:rFonts w:hint="default" w:eastAsiaTheme="minorEastAsia"/>
          <w:lang w:val="en-US" w:eastAsia="zh-CN"/>
        </w:rPr>
      </w:pPr>
      <w:r>
        <w:rPr>
          <w:rFonts w:hint="eastAsia"/>
          <w:lang w:eastAsia="zh-CN"/>
        </w:rPr>
        <w:t>2</w:t>
      </w:r>
      <w:r>
        <w:rPr>
          <w:lang w:eastAsia="zh-CN"/>
        </w:rPr>
        <w:t>.</w:t>
      </w:r>
      <w:r>
        <w:rPr>
          <w:rFonts w:hint="eastAsia"/>
          <w:lang w:val="en-US" w:eastAsia="zh-CN"/>
        </w:rPr>
        <w:t>1</w:t>
      </w:r>
      <w:r>
        <w:rPr>
          <w:lang w:eastAsia="zh-CN"/>
        </w:rPr>
        <w:t xml:space="preserve"> </w:t>
      </w:r>
      <w:r>
        <w:rPr>
          <w:rFonts w:hint="eastAsia"/>
          <w:lang w:val="en-US" w:eastAsia="zh-CN"/>
        </w:rPr>
        <w:t>Soft satellite switching with re-sync</w:t>
      </w:r>
    </w:p>
    <w:p>
      <w:pPr>
        <w:spacing w:before="120" w:beforeLines="50" w:after="120" w:afterLines="50"/>
        <w:rPr>
          <w:rFonts w:eastAsiaTheme="minorEastAsia"/>
          <w:lang w:val="en-US" w:eastAsia="zh-CN"/>
        </w:rPr>
      </w:pPr>
      <w:r>
        <w:rPr>
          <w:rFonts w:eastAsiaTheme="minorEastAsia"/>
          <w:lang w:val="en-US" w:eastAsia="zh-CN"/>
        </w:rPr>
        <w:t>In the last meeting, RAN4 has discussed the satellite switch delay requirements including hard satellite switch and soft satellite switch, the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spacing w:after="120"/>
              <w:rPr>
                <w:b/>
                <w:bCs/>
                <w:color w:val="000000"/>
                <w:szCs w:val="21"/>
                <w:u w:val="single"/>
              </w:rPr>
            </w:pPr>
            <w:r>
              <w:rPr>
                <w:b/>
                <w:bCs/>
                <w:color w:val="000000"/>
                <w:szCs w:val="21"/>
                <w:u w:val="single"/>
              </w:rPr>
              <w:t>Issue 1-2-1: Hard satellite switching with re-sync</w:t>
            </w:r>
          </w:p>
          <w:p>
            <w:pPr>
              <w:overflowPunct w:val="0"/>
              <w:autoSpaceDE w:val="0"/>
              <w:autoSpaceDN w:val="0"/>
              <w:adjustRightInd w:val="0"/>
              <w:snapToGrid w:val="0"/>
              <w:spacing w:after="120"/>
              <w:rPr>
                <w:rFonts w:eastAsia="Malgun Gothic"/>
                <w:color w:val="000000"/>
                <w:szCs w:val="21"/>
                <w:u w:val="single"/>
              </w:rPr>
            </w:pPr>
            <w:r>
              <w:rPr>
                <w:rFonts w:eastAsia="Malgun Gothic"/>
                <w:color w:val="000000"/>
                <w:szCs w:val="21"/>
                <w:u w:val="single"/>
              </w:rPr>
              <w:t xml:space="preserve">Agreement: </w:t>
            </w:r>
          </w:p>
          <w:p>
            <w:pPr>
              <w:numPr>
                <w:ilvl w:val="0"/>
                <w:numId w:val="5"/>
              </w:numPr>
              <w:overflowPunct w:val="0"/>
              <w:autoSpaceDE w:val="0"/>
              <w:autoSpaceDN w:val="0"/>
              <w:adjustRightInd w:val="0"/>
              <w:snapToGrid w:val="0"/>
              <w:spacing w:after="120"/>
              <w:rPr>
                <w:rFonts w:eastAsia="Malgun Gothic"/>
                <w:color w:val="000000"/>
                <w:szCs w:val="21"/>
                <w:lang w:eastAsia="en-GB"/>
              </w:rPr>
            </w:pPr>
            <w:r>
              <w:rPr>
                <w:rFonts w:eastAsia="Malgun Gothic"/>
                <w:bCs/>
                <w:color w:val="000000"/>
                <w:szCs w:val="21"/>
                <w:lang w:eastAsia="en-GB"/>
              </w:rPr>
              <w:t>The components in hard satellite switching delay requirements refer to legacy hard satellite switching delay and inter satellite handover delay</w:t>
            </w:r>
            <w:r>
              <w:rPr>
                <w:rFonts w:eastAsia="Malgun Gothic"/>
                <w:color w:val="000000"/>
                <w:szCs w:val="21"/>
                <w:lang w:eastAsia="en-GB"/>
              </w:rPr>
              <w:t>.</w:t>
            </w:r>
          </w:p>
          <w:p>
            <w:pPr>
              <w:snapToGrid w:val="0"/>
              <w:spacing w:after="120"/>
              <w:rPr>
                <w:b/>
                <w:bCs/>
                <w:color w:val="000000"/>
                <w:szCs w:val="21"/>
                <w:highlight w:val="none"/>
                <w:u w:val="single"/>
              </w:rPr>
            </w:pPr>
            <w:r>
              <w:rPr>
                <w:b/>
                <w:bCs/>
                <w:color w:val="000000"/>
                <w:szCs w:val="21"/>
                <w:highlight w:val="none"/>
                <w:u w:val="single"/>
              </w:rPr>
              <w:t>Issue 1-2-2: soft satellite switching with re-sync</w:t>
            </w:r>
          </w:p>
          <w:p>
            <w:pPr>
              <w:overflowPunct w:val="0"/>
              <w:autoSpaceDE w:val="0"/>
              <w:autoSpaceDN w:val="0"/>
              <w:adjustRightInd w:val="0"/>
              <w:spacing w:after="120"/>
              <w:rPr>
                <w:rFonts w:eastAsia="Malgun Gothic"/>
                <w:szCs w:val="21"/>
                <w:u w:val="single"/>
              </w:rPr>
            </w:pPr>
            <w:r>
              <w:rPr>
                <w:rFonts w:eastAsia="Malgun Gothic"/>
                <w:szCs w:val="21"/>
                <w:u w:val="single"/>
              </w:rPr>
              <w:t>Agreement:</w:t>
            </w:r>
          </w:p>
          <w:p>
            <w:pPr>
              <w:numPr>
                <w:ilvl w:val="0"/>
                <w:numId w:val="5"/>
              </w:numPr>
              <w:snapToGrid w:val="0"/>
              <w:spacing w:after="120"/>
              <w:rPr>
                <w:color w:val="000000"/>
                <w:szCs w:val="21"/>
                <w:lang w:val="en-GB"/>
              </w:rPr>
            </w:pPr>
            <w:r>
              <w:rPr>
                <w:color w:val="000000"/>
                <w:szCs w:val="21"/>
                <w:lang w:val="en-GB"/>
              </w:rPr>
              <w:t>Agree to introduce RRM requirements for soft satellite switching with re-sync for the VSAT UE with electronic beam steering:</w:t>
            </w:r>
          </w:p>
          <w:p>
            <w:pPr>
              <w:snapToGrid w:val="0"/>
              <w:spacing w:after="120"/>
              <w:jc w:val="center"/>
              <w:rPr>
                <w:color w:val="000000"/>
                <w:szCs w:val="21"/>
                <w:lang w:val="en-GB"/>
              </w:rPr>
            </w:pPr>
            <w:r>
              <w:rPr>
                <w:color w:val="000000"/>
                <w:szCs w:val="21"/>
                <w:lang w:val="en-GB"/>
              </w:rPr>
              <w:t>T</w:t>
            </w:r>
            <w:r>
              <w:rPr>
                <w:color w:val="000000"/>
                <w:szCs w:val="21"/>
                <w:vertAlign w:val="subscript"/>
                <w:lang w:val="en-GB"/>
              </w:rPr>
              <w:t>soft_switch</w:t>
            </w:r>
            <w:r>
              <w:rPr>
                <w:color w:val="000000"/>
                <w:szCs w:val="21"/>
                <w:lang w:val="en-GB"/>
              </w:rPr>
              <w:t xml:space="preserve"> = max(</w:t>
            </w:r>
            <w:r>
              <w:rPr>
                <w:i/>
                <w:color w:val="000000"/>
                <w:szCs w:val="21"/>
                <w:lang w:val="en-GB"/>
              </w:rPr>
              <w:t>t-service</w:t>
            </w:r>
            <w:r>
              <w:rPr>
                <w:color w:val="000000"/>
                <w:szCs w:val="21"/>
                <w:lang w:val="en-GB"/>
              </w:rPr>
              <w:t>-</w:t>
            </w:r>
            <w:r>
              <w:rPr>
                <w:i/>
                <w:color w:val="000000"/>
                <w:szCs w:val="21"/>
                <w:lang w:val="en-GB"/>
              </w:rPr>
              <w:t>t-serviceStart</w:t>
            </w:r>
            <w:r>
              <w:rPr>
                <w:color w:val="000000"/>
                <w:szCs w:val="21"/>
                <w:lang w:val="en-GB"/>
              </w:rPr>
              <w:t>, T</w:t>
            </w:r>
            <w:r>
              <w:rPr>
                <w:color w:val="000000"/>
                <w:szCs w:val="21"/>
                <w:vertAlign w:val="subscript"/>
                <w:lang w:val="en-GB"/>
              </w:rPr>
              <w:t xml:space="preserve">sat_beam </w:t>
            </w:r>
            <w:r>
              <w:rPr>
                <w:color w:val="000000"/>
                <w:szCs w:val="21"/>
                <w:lang w:val="en-GB"/>
              </w:rPr>
              <w:t>+ T</w:t>
            </w:r>
            <w:r>
              <w:rPr>
                <w:color w:val="000000"/>
                <w:szCs w:val="21"/>
                <w:vertAlign w:val="subscript"/>
                <w:lang w:val="en-GB"/>
              </w:rPr>
              <w:t>search</w:t>
            </w:r>
            <w:r>
              <w:rPr>
                <w:color w:val="000000"/>
                <w:szCs w:val="21"/>
                <w:lang w:val="en-GB"/>
              </w:rPr>
              <w:t xml:space="preserve"> + T</w:t>
            </w:r>
            <w:r>
              <w:rPr>
                <w:color w:val="000000"/>
                <w:szCs w:val="21"/>
                <w:vertAlign w:val="subscript"/>
                <w:lang w:val="en-GB"/>
              </w:rPr>
              <w:t>∆</w:t>
            </w:r>
            <w:r>
              <w:rPr>
                <w:color w:val="000000"/>
                <w:szCs w:val="21"/>
                <w:lang w:val="en-GB"/>
              </w:rPr>
              <w:t xml:space="preserve"> + T</w:t>
            </w:r>
            <w:r>
              <w:rPr>
                <w:color w:val="000000"/>
                <w:szCs w:val="21"/>
                <w:vertAlign w:val="subscript"/>
                <w:lang w:val="en-GB"/>
              </w:rPr>
              <w:t>margin</w:t>
            </w:r>
            <w:r>
              <w:rPr>
                <w:color w:val="000000"/>
                <w:szCs w:val="21"/>
                <w:lang w:val="en-GB"/>
              </w:rPr>
              <w:t>) + T</w:t>
            </w:r>
            <w:r>
              <w:rPr>
                <w:color w:val="000000"/>
                <w:szCs w:val="21"/>
                <w:vertAlign w:val="subscript"/>
                <w:lang w:val="en-GB"/>
              </w:rPr>
              <w:t>processing</w:t>
            </w:r>
          </w:p>
          <w:p>
            <w:pPr>
              <w:numPr>
                <w:ilvl w:val="0"/>
                <w:numId w:val="5"/>
              </w:numPr>
              <w:snapToGrid w:val="0"/>
              <w:spacing w:after="120"/>
              <w:rPr>
                <w:color w:val="000000"/>
                <w:szCs w:val="21"/>
                <w:lang w:val="en-GB"/>
              </w:rPr>
            </w:pPr>
            <w:r>
              <w:rPr>
                <w:color w:val="000000"/>
                <w:szCs w:val="21"/>
                <w:lang w:val="en-GB"/>
              </w:rPr>
              <w:t xml:space="preserve">The requirements in this clause do not apply if the time span from the last slot of SI transmission within SI modification period where the broadcasting of the last updated value for t-ServiceStart-r18 [and ssb-TimeOffset-r18] is acquired by the UE for the first time to the first slot corresponding to t-ServiceStart-r18 is is less than </w:t>
            </w:r>
            <w:r>
              <w:rPr>
                <w:rFonts w:hint="eastAsia"/>
                <w:color w:val="000000"/>
                <w:szCs w:val="21"/>
                <w:lang w:val="en-GB"/>
              </w:rPr>
              <w:t>[</w:t>
            </w:r>
            <w:r>
              <w:rPr>
                <w:color w:val="000000"/>
                <w:szCs w:val="21"/>
                <w:lang w:val="en-GB"/>
              </w:rPr>
              <w:t>1] s.</w:t>
            </w:r>
          </w:p>
          <w:p>
            <w:pPr>
              <w:numPr>
                <w:ilvl w:val="1"/>
                <w:numId w:val="5"/>
              </w:numPr>
              <w:snapToGrid w:val="0"/>
              <w:spacing w:after="120"/>
              <w:rPr>
                <w:color w:val="000000"/>
                <w:szCs w:val="21"/>
                <w:lang w:val="en-GB"/>
              </w:rPr>
            </w:pPr>
            <w:r>
              <w:rPr>
                <w:color w:val="000000"/>
                <w:szCs w:val="21"/>
                <w:lang w:val="en-GB"/>
              </w:rPr>
              <w:t>Further refinement on the wording is not precluced.</w:t>
            </w:r>
          </w:p>
          <w:p>
            <w:pPr>
              <w:numPr>
                <w:ilvl w:val="1"/>
                <w:numId w:val="5"/>
              </w:numPr>
              <w:snapToGrid w:val="0"/>
              <w:spacing w:after="120"/>
              <w:rPr>
                <w:color w:val="000000"/>
                <w:szCs w:val="21"/>
                <w:lang w:val="en-GB"/>
              </w:rPr>
            </w:pPr>
            <w:r>
              <w:rPr>
                <w:color w:val="000000"/>
                <w:szCs w:val="21"/>
                <w:lang w:val="en-GB"/>
              </w:rPr>
              <w:t>Further discussion on the value of [1] is not precluded.</w:t>
            </w:r>
          </w:p>
          <w:p>
            <w:pPr>
              <w:numPr>
                <w:ilvl w:val="0"/>
                <w:numId w:val="5"/>
              </w:numPr>
              <w:snapToGrid w:val="0"/>
              <w:spacing w:after="120"/>
              <w:rPr>
                <w:rFonts w:hint="eastAsia"/>
                <w:color w:val="000000"/>
                <w:sz w:val="21"/>
                <w:szCs w:val="21"/>
              </w:rPr>
            </w:pPr>
            <w:r>
              <w:rPr>
                <w:color w:val="000000"/>
                <w:szCs w:val="21"/>
                <w:lang w:val="en-GB"/>
              </w:rPr>
              <w:t>Extend the period of the scheduling restriction by two sided T</w:t>
            </w:r>
            <w:r>
              <w:rPr>
                <w:color w:val="000000"/>
                <w:szCs w:val="21"/>
                <w:vertAlign w:val="subscript"/>
                <w:lang w:val="en-GB"/>
              </w:rPr>
              <w:t>RX_switch</w:t>
            </w:r>
            <w:r>
              <w:rPr>
                <w:color w:val="000000"/>
                <w:szCs w:val="21"/>
                <w:lang w:val="en-GB"/>
              </w:rPr>
              <w:t>, T</w:t>
            </w:r>
            <w:r>
              <w:rPr>
                <w:color w:val="000000"/>
                <w:szCs w:val="21"/>
                <w:vertAlign w:val="subscript"/>
                <w:lang w:val="en-GB"/>
              </w:rPr>
              <w:t>RX_switch</w:t>
            </w:r>
            <w:r>
              <w:rPr>
                <w:color w:val="000000"/>
                <w:szCs w:val="21"/>
                <w:lang w:val="en-GB"/>
              </w:rPr>
              <w:t xml:space="preserve"> = 1 symbol.</w:t>
            </w:r>
          </w:p>
        </w:tc>
      </w:tr>
    </w:tbl>
    <w:p>
      <w:pPr>
        <w:spacing w:before="120" w:beforeLines="50" w:after="120" w:afterLines="50"/>
        <w:jc w:val="both"/>
        <w:rPr>
          <w:rFonts w:hint="eastAsia" w:eastAsiaTheme="minorEastAsia"/>
          <w:b w:val="0"/>
          <w:bCs/>
          <w:sz w:val="21"/>
          <w:szCs w:val="21"/>
          <w:lang w:val="en-US" w:eastAsia="zh-CN"/>
        </w:rPr>
      </w:pPr>
      <w:r>
        <w:rPr>
          <w:rFonts w:hint="eastAsia" w:eastAsiaTheme="minorEastAsia"/>
          <w:b w:val="0"/>
          <w:bCs/>
          <w:sz w:val="21"/>
          <w:szCs w:val="21"/>
          <w:lang w:val="en-US" w:eastAsia="zh-CN"/>
        </w:rPr>
        <w:t xml:space="preserve">We observe that RAN4 still has two points to check. The first one is whether </w:t>
      </w:r>
      <w:r>
        <w:rPr>
          <w:color w:val="000000"/>
          <w:szCs w:val="21"/>
          <w:lang w:val="en-GB"/>
        </w:rPr>
        <w:t>ssb-TimeOffset-r18</w:t>
      </w:r>
      <w:r>
        <w:rPr>
          <w:rFonts w:hint="eastAsia" w:eastAsia="宋体"/>
          <w:color w:val="000000"/>
          <w:szCs w:val="21"/>
          <w:lang w:val="en-US" w:eastAsia="zh-CN"/>
        </w:rPr>
        <w:t xml:space="preserve"> shall be added in </w:t>
      </w:r>
      <w:r>
        <w:rPr>
          <w:rFonts w:hint="eastAsia" w:eastAsiaTheme="minorEastAsia"/>
          <w:b w:val="0"/>
          <w:bCs/>
          <w:sz w:val="21"/>
          <w:szCs w:val="21"/>
          <w:lang w:val="en-US" w:eastAsia="zh-CN"/>
        </w:rPr>
        <w:t>additional condition, the second one is whether the preparing time 1s is reasonable. First of all, we know that the additional condition is proposed since the company deems that VSAT has a large number of antenna elements, there are also a vast number of beamforming weights. The UE typically does not pre-load the beamforming weights for all neighbor satellites into memory, it only loads the weights for the target satellite after receiving the switching indication. From our perspective, we would like to study them one by one.</w:t>
      </w:r>
    </w:p>
    <w:p>
      <w:pPr>
        <w:numPr>
          <w:ilvl w:val="0"/>
          <w:numId w:val="6"/>
        </w:numPr>
        <w:spacing w:before="120" w:beforeLines="50" w:after="120" w:afterLines="50"/>
        <w:jc w:val="both"/>
        <w:rPr>
          <w:rFonts w:hint="default" w:eastAsiaTheme="minorEastAsia"/>
          <w:b w:val="0"/>
          <w:bCs/>
          <w:sz w:val="21"/>
          <w:szCs w:val="21"/>
          <w:lang w:val="en-US" w:eastAsia="zh-CN"/>
        </w:rPr>
      </w:pPr>
      <w:r>
        <w:rPr>
          <w:rFonts w:hint="eastAsia" w:eastAsiaTheme="minorEastAsia"/>
          <w:b w:val="0"/>
          <w:bCs/>
          <w:sz w:val="21"/>
          <w:szCs w:val="21"/>
          <w:lang w:val="en-US" w:eastAsia="zh-CN"/>
        </w:rPr>
        <w:t>Whether to preclude [ssb-TimeOffset-r18]</w:t>
      </w:r>
    </w:p>
    <w:p>
      <w:pPr>
        <w:numPr>
          <w:ilvl w:val="0"/>
          <w:numId w:val="0"/>
        </w:numPr>
        <w:spacing w:before="120" w:beforeLines="50" w:after="120" w:afterLines="50"/>
        <w:jc w:val="both"/>
        <w:rPr>
          <w:rFonts w:hint="eastAsia" w:eastAsiaTheme="minorEastAsia"/>
          <w:b w:val="0"/>
          <w:bCs/>
          <w:sz w:val="21"/>
          <w:szCs w:val="21"/>
          <w:lang w:val="en-US" w:eastAsia="zh-CN"/>
        </w:rPr>
      </w:pPr>
      <w:r>
        <w:rPr>
          <w:rFonts w:hint="eastAsia" w:eastAsiaTheme="minorEastAsia"/>
          <w:b w:val="0"/>
          <w:bCs/>
          <w:sz w:val="21"/>
          <w:szCs w:val="21"/>
          <w:lang w:val="en-US" w:eastAsia="zh-CN"/>
        </w:rPr>
        <w:t>We do think the parameter ssb-TimeOffset-r18 shall be added. We could observe the concrete details in TS38.331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afterLines="50"/>
              <w:jc w:val="both"/>
              <w:rPr>
                <w:rFonts w:hint="eastAsia" w:ascii="Times New Roman" w:hAnsi="Times New Roman" w:cs="Times New Roman" w:eastAsiaTheme="minorEastAsia"/>
                <w:b w:val="0"/>
                <w:bCs/>
                <w:sz w:val="21"/>
                <w:szCs w:val="21"/>
                <w:lang w:val="en-US" w:eastAsia="zh-CN"/>
              </w:rPr>
            </w:pPr>
            <w:r>
              <w:rPr>
                <w:rFonts w:hint="eastAsia" w:ascii="Times New Roman" w:hAnsi="Times New Roman" w:cs="Times New Roman" w:eastAsiaTheme="minorEastAsia"/>
                <w:b w:val="0"/>
                <w:bCs/>
                <w:sz w:val="21"/>
                <w:szCs w:val="21"/>
                <w:lang w:val="en-US" w:eastAsia="zh-CN"/>
              </w:rPr>
              <w:t xml:space="preserve">SatSwitchWithReSync field descriptions </w:t>
            </w:r>
          </w:p>
          <w:p>
            <w:pPr>
              <w:spacing w:before="120" w:beforeLines="50" w:after="120" w:afterLines="50"/>
              <w:jc w:val="center"/>
              <w:rPr>
                <w:rFonts w:hint="eastAsia" w:ascii="Times New Roman" w:hAnsi="Times New Roman" w:cs="Times New Roman" w:eastAsiaTheme="minorEastAsia"/>
                <w:b w:val="0"/>
                <w:bCs/>
                <w:sz w:val="21"/>
                <w:szCs w:val="21"/>
                <w:lang w:val="en-US" w:eastAsia="zh-CN"/>
              </w:rPr>
            </w:pPr>
            <w:r>
              <w:rPr>
                <w:rFonts w:hint="default" w:ascii="Times New Roman" w:hAnsi="Times New Roman" w:cs="Times New Roman" w:eastAsiaTheme="minorEastAsia"/>
                <w:b w:val="0"/>
                <w:bCs/>
                <w:sz w:val="21"/>
                <w:szCs w:val="21"/>
                <w:lang w:val="en-US" w:eastAsia="zh-CN"/>
              </w:rPr>
              <w:t>ssb-TimeOffset</w:t>
            </w:r>
          </w:p>
          <w:p>
            <w:pPr>
              <w:spacing w:before="120" w:beforeLines="50" w:after="120" w:afterLines="50"/>
              <w:jc w:val="both"/>
              <w:rPr>
                <w:rFonts w:hint="eastAsia" w:ascii="Times New Roman" w:hAnsi="Times New Roman" w:cs="Times New Roman" w:eastAsiaTheme="minorEastAsia"/>
                <w:b w:val="0"/>
                <w:bCs/>
                <w:sz w:val="21"/>
                <w:szCs w:val="21"/>
                <w:lang w:val="en-US" w:eastAsia="zh-CN"/>
              </w:rPr>
            </w:pPr>
            <w:r>
              <w:rPr>
                <w:rFonts w:hint="eastAsia" w:ascii="Times New Roman" w:hAnsi="Times New Roman" w:cs="Times New Roman" w:eastAsiaTheme="minorEastAsia"/>
                <w:b w:val="0"/>
                <w:bCs/>
                <w:sz w:val="21"/>
                <w:szCs w:val="21"/>
                <w:lang w:val="en-US" w:eastAsia="zh-CN"/>
              </w:rPr>
              <w:t xml:space="preserve">Indicates the time offset of the SSB from target satellite at its uplink time synchronization reference point with respect to the SSB from source satellite at its uplink time </w:t>
            </w:r>
            <w:r>
              <w:rPr>
                <w:rFonts w:hint="default" w:ascii="Times New Roman" w:hAnsi="Times New Roman" w:cs="Times New Roman" w:eastAsiaTheme="minorEastAsia"/>
                <w:b w:val="0"/>
                <w:bCs/>
                <w:sz w:val="21"/>
                <w:szCs w:val="21"/>
                <w:lang w:val="en-US" w:eastAsia="zh-CN"/>
              </w:rPr>
              <w:t xml:space="preserve">synchronization reference point. It is given in number of subframes. </w:t>
            </w:r>
          </w:p>
          <w:p>
            <w:pPr>
              <w:spacing w:before="120" w:beforeLines="50" w:after="120" w:afterLines="50"/>
              <w:jc w:val="center"/>
              <w:rPr>
                <w:rFonts w:hint="eastAsia" w:ascii="Times New Roman" w:hAnsi="Times New Roman" w:cs="Times New Roman" w:eastAsiaTheme="minorEastAsia"/>
                <w:b w:val="0"/>
                <w:bCs/>
                <w:sz w:val="21"/>
                <w:szCs w:val="21"/>
                <w:lang w:val="en-US" w:eastAsia="zh-CN"/>
              </w:rPr>
            </w:pPr>
            <w:r>
              <w:rPr>
                <w:rFonts w:hint="default" w:ascii="Times New Roman" w:hAnsi="Times New Roman" w:cs="Times New Roman" w:eastAsiaTheme="minorEastAsia"/>
                <w:b w:val="0"/>
                <w:bCs/>
                <w:sz w:val="21"/>
                <w:szCs w:val="21"/>
                <w:lang w:val="en-US" w:eastAsia="zh-CN"/>
              </w:rPr>
              <w:t>t-ServiceStart</w:t>
            </w:r>
          </w:p>
          <w:p>
            <w:pPr>
              <w:spacing w:before="120" w:beforeLines="50" w:after="120" w:afterLines="50"/>
              <w:jc w:val="both"/>
              <w:rPr>
                <w:rFonts w:hint="default" w:eastAsiaTheme="minorEastAsia"/>
                <w:b w:val="0"/>
                <w:bCs/>
                <w:sz w:val="21"/>
                <w:szCs w:val="21"/>
                <w:vertAlign w:val="baseline"/>
                <w:lang w:val="en-US" w:eastAsia="zh-CN"/>
              </w:rPr>
            </w:pPr>
            <w:r>
              <w:rPr>
                <w:rFonts w:hint="default" w:ascii="Times New Roman" w:hAnsi="Times New Roman" w:cs="Times New Roman" w:eastAsiaTheme="minorEastAsia"/>
                <w:b w:val="0"/>
                <w:bCs/>
                <w:sz w:val="21"/>
                <w:szCs w:val="21"/>
                <w:lang w:val="en-US" w:eastAsia="zh-CN"/>
              </w:rPr>
              <w:t xml:space="preserve">Indicates the time information on when the target satellite is going to start serving the area currently covered by the serving satellite. The field indicates a time in multiples of 10ms after 00:00:00 on Gregorian calendar date 1st January 1900 (midnight between Sunday, December 31, 1899, and Monday, January 1, 1900). The exact start time is between the time indicated by the value of this field minus 1 and the time indicated by the value of this field. The reference point for </w:t>
            </w:r>
            <w:r>
              <w:rPr>
                <w:rFonts w:hint="eastAsia" w:ascii="Times New Roman" w:hAnsi="Times New Roman" w:cs="Times New Roman" w:eastAsiaTheme="minorEastAsia"/>
                <w:b w:val="0"/>
                <w:bCs/>
                <w:sz w:val="21"/>
                <w:szCs w:val="21"/>
                <w:lang w:val="en-US" w:eastAsia="zh-CN"/>
              </w:rPr>
              <w:t>t-ServiceStart</w:t>
            </w:r>
            <w:r>
              <w:rPr>
                <w:rFonts w:hint="default" w:ascii="Times New Roman" w:hAnsi="Times New Roman" w:cs="Times New Roman" w:eastAsiaTheme="minorEastAsia"/>
                <w:b w:val="0"/>
                <w:bCs/>
                <w:sz w:val="21"/>
                <w:szCs w:val="21"/>
                <w:lang w:val="en-US" w:eastAsia="zh-CN"/>
              </w:rPr>
              <w:t xml:space="preserve"> is the uplink time synchronization reference point of the serving satellite. </w:t>
            </w:r>
          </w:p>
        </w:tc>
      </w:tr>
    </w:tbl>
    <w:p>
      <w:pPr>
        <w:numPr>
          <w:ilvl w:val="0"/>
          <w:numId w:val="0"/>
        </w:numPr>
        <w:spacing w:before="120" w:beforeLines="50" w:after="120" w:afterLines="50"/>
        <w:jc w:val="both"/>
        <w:rPr>
          <w:rFonts w:hint="default" w:eastAsiaTheme="minorEastAsia"/>
          <w:b w:val="0"/>
          <w:bCs/>
          <w:sz w:val="21"/>
          <w:szCs w:val="21"/>
          <w:lang w:val="en-US" w:eastAsia="zh-CN"/>
        </w:rPr>
      </w:pPr>
      <w:r>
        <w:rPr>
          <w:rFonts w:hint="eastAsia" w:eastAsiaTheme="minorEastAsia"/>
          <w:b w:val="0"/>
          <w:bCs/>
          <w:sz w:val="21"/>
          <w:szCs w:val="21"/>
          <w:lang w:val="en-US" w:eastAsia="zh-CN"/>
        </w:rPr>
        <w:t>t-ServiceStart-r18 informs the UE when to start switching to the target satellite, whereas ssb-TimeOffset-r18 tells the UE where to find the target satellite's synchronization signal block. If ssb-TimeOffset is absent, UE will not distinguish whether SSB is from serving satellite or target satellite. Consequently, we deem ssb-TimeOffset is necessary.</w:t>
      </w:r>
    </w:p>
    <w:p>
      <w:pPr>
        <w:numPr>
          <w:ilvl w:val="0"/>
          <w:numId w:val="6"/>
        </w:numPr>
        <w:spacing w:before="120" w:beforeLines="50" w:after="120" w:afterLines="50"/>
        <w:jc w:val="both"/>
        <w:rPr>
          <w:rFonts w:hint="default" w:eastAsiaTheme="minorEastAsia"/>
          <w:b w:val="0"/>
          <w:bCs/>
          <w:sz w:val="21"/>
          <w:szCs w:val="21"/>
          <w:lang w:val="en-US" w:eastAsia="zh-CN"/>
        </w:rPr>
      </w:pPr>
      <w:r>
        <w:rPr>
          <w:rFonts w:hint="eastAsia" w:eastAsiaTheme="minorEastAsia"/>
          <w:b w:val="0"/>
          <w:bCs/>
          <w:sz w:val="21"/>
          <w:szCs w:val="21"/>
          <w:lang w:val="en-US" w:eastAsia="zh-CN"/>
        </w:rPr>
        <w:t>Less than [1s]</w:t>
      </w:r>
    </w:p>
    <w:p>
      <w:pPr>
        <w:spacing w:before="120" w:beforeLines="50" w:after="120" w:afterLines="50"/>
        <w:rPr>
          <w:rFonts w:hint="eastAsia" w:eastAsiaTheme="minorEastAsia"/>
          <w:b w:val="0"/>
          <w:bCs/>
          <w:sz w:val="21"/>
          <w:szCs w:val="21"/>
          <w:lang w:val="en-US" w:eastAsia="zh-CN"/>
        </w:rPr>
      </w:pPr>
      <w:r>
        <w:rPr>
          <w:rFonts w:hint="eastAsia" w:eastAsiaTheme="minorEastAsia"/>
          <w:b w:val="0"/>
          <w:bCs/>
          <w:sz w:val="21"/>
          <w:szCs w:val="21"/>
          <w:lang w:val="en-US" w:eastAsia="zh-CN"/>
        </w:rPr>
        <w:t>For this time, we do have strong view. Actually, this time mainly refer to beamforming weight preparing time including storage media access and margin. To our understanding, 1s could be the baseline.</w:t>
      </w:r>
    </w:p>
    <w:p>
      <w:pPr>
        <w:spacing w:before="120" w:beforeLines="50" w:after="120" w:afterLines="50"/>
        <w:rPr>
          <w:rFonts w:hint="eastAsia" w:eastAsiaTheme="minorEastAsia"/>
          <w:b/>
          <w:bCs w:val="0"/>
          <w:sz w:val="21"/>
          <w:szCs w:val="21"/>
          <w:lang w:val="en-US" w:eastAsia="zh-CN"/>
        </w:rPr>
      </w:pPr>
      <w:r>
        <w:rPr>
          <w:rFonts w:hint="eastAsia" w:eastAsiaTheme="minorEastAsia"/>
          <w:b/>
          <w:bCs w:val="0"/>
          <w:sz w:val="21"/>
          <w:szCs w:val="21"/>
          <w:lang w:val="en-US" w:eastAsia="zh-CN"/>
        </w:rPr>
        <w:t>Observation 1: The time mainly refer to beamforming weight preparing time including storage media access and margin.</w:t>
      </w:r>
    </w:p>
    <w:p>
      <w:pPr>
        <w:spacing w:before="120" w:beforeLines="50" w:after="120" w:afterLines="50"/>
        <w:rPr>
          <w:rFonts w:hint="default" w:eastAsiaTheme="minorEastAsia"/>
          <w:b/>
          <w:bCs w:val="0"/>
          <w:sz w:val="21"/>
          <w:szCs w:val="21"/>
          <w:lang w:val="en-US" w:eastAsia="zh-CN"/>
        </w:rPr>
      </w:pPr>
      <w:r>
        <w:rPr>
          <w:rFonts w:hint="eastAsia" w:eastAsiaTheme="minorEastAsia"/>
          <w:b/>
          <w:bCs w:val="0"/>
          <w:sz w:val="21"/>
          <w:szCs w:val="21"/>
          <w:lang w:val="en-US" w:eastAsia="zh-CN"/>
        </w:rPr>
        <w:t>Observation 2: t-ServiceStart-r18 informs the UE when to start switching to the target satellite, whereas ssb-TimeOffset-r18 tells the UE where to find the target satellite's synchronization signal block.</w:t>
      </w:r>
    </w:p>
    <w:p>
      <w:pPr>
        <w:spacing w:before="120" w:beforeLines="50" w:after="120" w:afterLines="50"/>
        <w:rPr>
          <w:rFonts w:hint="default" w:eastAsiaTheme="minorEastAsia"/>
          <w:b/>
          <w:bCs w:val="0"/>
          <w:sz w:val="21"/>
          <w:szCs w:val="21"/>
          <w:lang w:val="en-US" w:eastAsia="zh-CN"/>
        </w:rPr>
      </w:pPr>
      <w:r>
        <w:rPr>
          <w:rFonts w:hint="eastAsia" w:eastAsiaTheme="minorEastAsia"/>
          <w:b/>
          <w:bCs w:val="0"/>
          <w:sz w:val="21"/>
          <w:szCs w:val="21"/>
          <w:lang w:val="en-US" w:eastAsia="zh-CN"/>
        </w:rPr>
        <w:t xml:space="preserve">Proposal 1: ssb-TimeOffset is necessary and 1s could be the baseline. </w:t>
      </w:r>
    </w:p>
    <w:p>
      <w:pPr>
        <w:pStyle w:val="79"/>
        <w:numPr>
          <w:ilvl w:val="1"/>
          <w:numId w:val="0"/>
        </w:numPr>
        <w:rPr>
          <w:lang w:eastAsia="zh-CN"/>
        </w:rPr>
      </w:pPr>
      <w:r>
        <w:rPr>
          <w:rFonts w:hint="eastAsia"/>
          <w:lang w:eastAsia="zh-CN"/>
        </w:rPr>
        <w:t>2</w:t>
      </w:r>
      <w:r>
        <w:rPr>
          <w:lang w:eastAsia="zh-CN"/>
        </w:rPr>
        <w:t>.</w:t>
      </w:r>
      <w:r>
        <w:rPr>
          <w:rFonts w:hint="eastAsia"/>
          <w:lang w:val="en-US" w:eastAsia="zh-CN"/>
        </w:rPr>
        <w:t>2</w:t>
      </w:r>
      <w:r>
        <w:rPr>
          <w:lang w:eastAsia="zh-CN"/>
        </w:rPr>
        <w:t xml:space="preserve"> Terminology update</w:t>
      </w:r>
    </w:p>
    <w:p>
      <w:pPr>
        <w:spacing w:before="120" w:beforeLines="50" w:after="120" w:afterLines="50"/>
        <w:jc w:val="both"/>
        <w:rPr>
          <w:rFonts w:hint="default" w:eastAsiaTheme="minorEastAsia"/>
          <w:lang w:val="en-US" w:eastAsia="zh-CN"/>
        </w:rPr>
      </w:pPr>
      <w:r>
        <w:rPr>
          <w:rFonts w:hint="eastAsia" w:eastAsiaTheme="minorEastAsia"/>
          <w:lang w:eastAsia="zh-CN"/>
        </w:rPr>
        <w:t>I</w:t>
      </w:r>
      <w:r>
        <w:rPr>
          <w:rFonts w:eastAsiaTheme="minorEastAsia"/>
          <w:lang w:eastAsia="zh-CN"/>
        </w:rPr>
        <w:t xml:space="preserve">n previous meeting, RF session has already defined the new frequency range for Ku band NTN. We confirm the range of FR2 is extended and starting from 10GHz. The range of FR1 is also extended. </w:t>
      </w:r>
      <w:r>
        <w:rPr>
          <w:rFonts w:hint="eastAsia" w:eastAsiaTheme="minorEastAsia"/>
          <w:lang w:val="en-US" w:eastAsia="zh-CN"/>
        </w:rPr>
        <w:t>In previous meeting, we only confirmed FR1 terminology as below ans we shall complete the whole story: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napToGrid w:val="0"/>
              <w:spacing w:after="120"/>
              <w:rPr>
                <w:color w:val="000000"/>
                <w:szCs w:val="21"/>
                <w:u w:val="single"/>
              </w:rPr>
            </w:pPr>
            <w:r>
              <w:rPr>
                <w:rFonts w:hint="eastAsia"/>
                <w:color w:val="000000"/>
                <w:szCs w:val="21"/>
                <w:u w:val="single"/>
              </w:rPr>
              <w:t>A</w:t>
            </w:r>
            <w:r>
              <w:rPr>
                <w:color w:val="000000"/>
                <w:szCs w:val="21"/>
                <w:u w:val="single"/>
              </w:rPr>
              <w:t xml:space="preserve">greement: </w:t>
            </w:r>
          </w:p>
          <w:p>
            <w:pPr>
              <w:numPr>
                <w:ilvl w:val="0"/>
                <w:numId w:val="5"/>
              </w:numPr>
              <w:overflowPunct w:val="0"/>
              <w:autoSpaceDE w:val="0"/>
              <w:autoSpaceDN w:val="0"/>
              <w:adjustRightInd w:val="0"/>
              <w:snapToGrid w:val="0"/>
              <w:spacing w:after="120"/>
              <w:textAlignment w:val="baseline"/>
              <w:rPr>
                <w:rFonts w:eastAsiaTheme="minorEastAsia"/>
                <w:vertAlign w:val="baseline"/>
                <w:lang w:eastAsia="zh-CN"/>
              </w:rPr>
            </w:pPr>
            <w:r>
              <w:rPr>
                <w:color w:val="000000"/>
                <w:szCs w:val="21"/>
                <w:lang w:val="en-GB"/>
              </w:rPr>
              <w:t>For VSAT UE in Ku-band with FR1-NTN numerology, use the terminology of ‘VSAT UE in FR1-NTN’.</w:t>
            </w:r>
          </w:p>
        </w:tc>
      </w:tr>
    </w:tbl>
    <w:p>
      <w:pPr>
        <w:spacing w:before="120" w:beforeLines="50" w:after="120" w:afterLines="50"/>
        <w:rPr>
          <w:rFonts w:hint="eastAsia" w:eastAsiaTheme="minorEastAsia"/>
          <w:b w:val="0"/>
          <w:bCs/>
          <w:sz w:val="21"/>
          <w:szCs w:val="21"/>
          <w:lang w:eastAsia="zh-CN"/>
        </w:rPr>
      </w:pPr>
      <w:r>
        <w:rPr>
          <w:rFonts w:eastAsiaTheme="minorEastAsia"/>
          <w:b/>
          <w:lang w:eastAsia="zh-CN"/>
        </w:rPr>
        <w:t xml:space="preserve">Proposal </w:t>
      </w:r>
      <w:r>
        <w:rPr>
          <w:rFonts w:hint="eastAsia" w:eastAsiaTheme="minorEastAsia"/>
          <w:b/>
          <w:lang w:val="en-US" w:eastAsia="zh-CN"/>
        </w:rPr>
        <w:t>2</w:t>
      </w:r>
      <w:r>
        <w:rPr>
          <w:rFonts w:eastAsiaTheme="minorEastAsia"/>
          <w:b/>
          <w:lang w:eastAsia="zh-CN"/>
        </w:rPr>
        <w:t xml:space="preserve">: </w:t>
      </w:r>
      <w:r>
        <w:rPr>
          <w:b/>
          <w:color w:val="000000"/>
          <w:szCs w:val="21"/>
          <w:lang w:val="en-US"/>
        </w:rPr>
        <w:t>For Ku-band in FR2-NTN numerology, not to change the existing terminologies: ‘VSAT UE in FR2-NTN’ and ‘FR2-NTN’.</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spacing w:before="120" w:beforeLines="50" w:after="120" w:afterLines="50"/>
        <w:rPr>
          <w:rFonts w:hint="eastAsia" w:eastAsiaTheme="minorEastAsia"/>
          <w:b/>
          <w:bCs w:val="0"/>
          <w:sz w:val="21"/>
          <w:szCs w:val="21"/>
          <w:lang w:val="en-US" w:eastAsia="zh-CN"/>
        </w:rPr>
      </w:pPr>
      <w:r>
        <w:rPr>
          <w:rFonts w:hint="eastAsia" w:eastAsiaTheme="minorEastAsia"/>
          <w:b/>
          <w:bCs w:val="0"/>
          <w:sz w:val="21"/>
          <w:szCs w:val="21"/>
          <w:lang w:val="en-US" w:eastAsia="zh-CN"/>
        </w:rPr>
        <w:t>Observation 1: The time mainly refer to beamforming weight preparing time including storage media access and margin.</w:t>
      </w:r>
    </w:p>
    <w:p>
      <w:pPr>
        <w:spacing w:before="120" w:beforeLines="50" w:after="120" w:afterLines="50"/>
        <w:rPr>
          <w:rFonts w:hint="default" w:eastAsiaTheme="minorEastAsia"/>
          <w:b/>
          <w:bCs w:val="0"/>
          <w:sz w:val="21"/>
          <w:szCs w:val="21"/>
          <w:lang w:val="en-US" w:eastAsia="zh-CN"/>
        </w:rPr>
      </w:pPr>
      <w:r>
        <w:rPr>
          <w:rFonts w:hint="eastAsia" w:eastAsiaTheme="minorEastAsia"/>
          <w:b/>
          <w:bCs w:val="0"/>
          <w:sz w:val="21"/>
          <w:szCs w:val="21"/>
          <w:lang w:val="en-US" w:eastAsia="zh-CN"/>
        </w:rPr>
        <w:t>Observation 2: t-ServiceStart-r18 informs the UE when to start switching to the target satellite, whereas ssb-TimeOffset-r18 tells the UE where to find the target satellite's synchronization signal block.</w:t>
      </w:r>
    </w:p>
    <w:p>
      <w:pPr>
        <w:spacing w:before="120" w:after="120"/>
        <w:rPr>
          <w:rFonts w:eastAsia="宋体"/>
          <w:lang w:eastAsia="zh-CN"/>
        </w:rPr>
      </w:pPr>
      <w:r>
        <w:rPr>
          <w:rFonts w:hint="eastAsia" w:eastAsiaTheme="minorEastAsia"/>
          <w:b/>
          <w:bCs w:val="0"/>
          <w:sz w:val="21"/>
          <w:szCs w:val="21"/>
          <w:lang w:val="en-US" w:eastAsia="zh-CN"/>
        </w:rPr>
        <w:t>Proposal 1: ssb-TimeOffset is necessary and 1s could be the baseline.</w:t>
      </w:r>
    </w:p>
    <w:p>
      <w:pPr>
        <w:spacing w:before="120" w:beforeLines="50" w:after="120" w:afterLines="50"/>
        <w:rPr>
          <w:rFonts w:hint="eastAsia" w:eastAsiaTheme="minorEastAsia"/>
          <w:b/>
          <w:lang w:eastAsia="zh-CN"/>
        </w:rPr>
      </w:pPr>
      <w:r>
        <w:rPr>
          <w:rFonts w:eastAsiaTheme="minorEastAsia"/>
          <w:b/>
          <w:lang w:eastAsia="zh-CN"/>
        </w:rPr>
        <w:t xml:space="preserve">Proposal </w:t>
      </w:r>
      <w:r>
        <w:rPr>
          <w:rFonts w:hint="eastAsia" w:eastAsiaTheme="minorEastAsia"/>
          <w:b/>
          <w:lang w:val="en-US" w:eastAsia="zh-CN"/>
        </w:rPr>
        <w:t>2</w:t>
      </w:r>
      <w:r>
        <w:rPr>
          <w:rFonts w:eastAsiaTheme="minorEastAsia"/>
          <w:b/>
          <w:lang w:eastAsia="zh-CN"/>
        </w:rPr>
        <w:t xml:space="preserve">: </w:t>
      </w:r>
      <w:r>
        <w:rPr>
          <w:b/>
          <w:color w:val="000000"/>
          <w:szCs w:val="21"/>
          <w:lang w:val="en-US"/>
        </w:rPr>
        <w:t>For Ku-band in FR2-NTN numerology, not to change the existing terminologies: ‘VSAT UE in FR2-NTN’ and ‘FR2-NTN’.</w:t>
      </w:r>
    </w:p>
    <w:p>
      <w:pPr>
        <w:pStyle w:val="77"/>
        <w:numPr>
          <w:ilvl w:val="0"/>
          <w:numId w:val="0"/>
        </w:numPr>
        <w:ind w:left="360" w:hanging="360"/>
        <w:rPr>
          <w:lang w:val="en-US"/>
        </w:rPr>
      </w:pPr>
      <w:r>
        <w:rPr>
          <w:lang w:val="en-US"/>
        </w:rPr>
        <w:t>References</w:t>
      </w:r>
    </w:p>
    <w:p>
      <w:pPr>
        <w:numPr>
          <w:ilvl w:val="0"/>
          <w:numId w:val="7"/>
        </w:numPr>
        <w:rPr>
          <w:lang w:val="en-US" w:eastAsia="zh-CN"/>
        </w:rPr>
      </w:pPr>
      <w:bookmarkStart w:id="2" w:name="_Ref114500673"/>
      <w:bookmarkEnd w:id="2"/>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numPr>
          <w:ilvl w:val="0"/>
          <w:numId w:val="7"/>
        </w:numPr>
        <w:rPr>
          <w:lang w:val="en-US" w:eastAsia="zh-CN"/>
        </w:rPr>
      </w:pPr>
      <w:r>
        <w:rPr>
          <w:rFonts w:hint="eastAsia"/>
          <w:lang w:val="en-US" w:eastAsia="zh-CN"/>
        </w:rPr>
        <w:t>R4-2512121, WF on RRM requirements for NR_NTN_Ku_bands, Apple.</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A3B31"/>
    <w:multiLevelType w:val="multilevel"/>
    <w:tmpl w:val="925A3B3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DF8F1EF"/>
    <w:multiLevelType w:val="singleLevel"/>
    <w:tmpl w:val="CDF8F1EF"/>
    <w:lvl w:ilvl="0" w:tentative="0">
      <w:start w:val="1"/>
      <w:numFmt w:val="decimal"/>
      <w:suff w:val="space"/>
      <w:lvlText w:val="%1."/>
      <w:lvlJc w:val="left"/>
    </w:lvl>
  </w:abstractNum>
  <w:abstractNum w:abstractNumId="2">
    <w:nsid w:val="1F8AB0F9"/>
    <w:multiLevelType w:val="multilevel"/>
    <w:tmpl w:val="1F8AB0F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6FF9DC81"/>
    <w:multiLevelType w:val="singleLevel"/>
    <w:tmpl w:val="6FF9DC81"/>
    <w:lvl w:ilvl="0" w:tentative="0">
      <w:start w:val="1"/>
      <w:numFmt w:val="decimal"/>
      <w:suff w:val="space"/>
      <w:lvlText w:val="[%1]"/>
      <w:lvlJc w:val="left"/>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0"/>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71165"/>
    <w:rsid w:val="00774DA4"/>
    <w:rsid w:val="00781F0F"/>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52E48"/>
    <w:rsid w:val="018F1743"/>
    <w:rsid w:val="018F25C8"/>
    <w:rsid w:val="01906A5B"/>
    <w:rsid w:val="01907C39"/>
    <w:rsid w:val="01A050D6"/>
    <w:rsid w:val="01BF1FED"/>
    <w:rsid w:val="01CB4B95"/>
    <w:rsid w:val="01D1338A"/>
    <w:rsid w:val="01E70C97"/>
    <w:rsid w:val="01EA15CF"/>
    <w:rsid w:val="020172F7"/>
    <w:rsid w:val="020B0ECC"/>
    <w:rsid w:val="0227513D"/>
    <w:rsid w:val="023A64A7"/>
    <w:rsid w:val="02402E7C"/>
    <w:rsid w:val="024205C1"/>
    <w:rsid w:val="02505886"/>
    <w:rsid w:val="02667EA7"/>
    <w:rsid w:val="027F2CA3"/>
    <w:rsid w:val="029011A2"/>
    <w:rsid w:val="029119C5"/>
    <w:rsid w:val="029C2FAD"/>
    <w:rsid w:val="02A03627"/>
    <w:rsid w:val="02A602E6"/>
    <w:rsid w:val="02AE5D6F"/>
    <w:rsid w:val="02BB37DF"/>
    <w:rsid w:val="02BD4751"/>
    <w:rsid w:val="02DB4554"/>
    <w:rsid w:val="02EC4357"/>
    <w:rsid w:val="02EE768C"/>
    <w:rsid w:val="02FA1082"/>
    <w:rsid w:val="031778E0"/>
    <w:rsid w:val="0327096F"/>
    <w:rsid w:val="032A315A"/>
    <w:rsid w:val="03481CC2"/>
    <w:rsid w:val="034E163D"/>
    <w:rsid w:val="034F527C"/>
    <w:rsid w:val="035E7A94"/>
    <w:rsid w:val="037A1871"/>
    <w:rsid w:val="038E7FF3"/>
    <w:rsid w:val="03981C19"/>
    <w:rsid w:val="03983AC0"/>
    <w:rsid w:val="03A1038B"/>
    <w:rsid w:val="03B3498A"/>
    <w:rsid w:val="03BF3D9F"/>
    <w:rsid w:val="03C80AD2"/>
    <w:rsid w:val="03C95263"/>
    <w:rsid w:val="03D31FB0"/>
    <w:rsid w:val="03EF3B00"/>
    <w:rsid w:val="03F0584F"/>
    <w:rsid w:val="03FB5627"/>
    <w:rsid w:val="04076F95"/>
    <w:rsid w:val="040E43A3"/>
    <w:rsid w:val="041C7AF3"/>
    <w:rsid w:val="04242812"/>
    <w:rsid w:val="04383CC9"/>
    <w:rsid w:val="04421BA4"/>
    <w:rsid w:val="04455C06"/>
    <w:rsid w:val="044B12E0"/>
    <w:rsid w:val="045E041F"/>
    <w:rsid w:val="046301A2"/>
    <w:rsid w:val="046D095B"/>
    <w:rsid w:val="04727A0B"/>
    <w:rsid w:val="04732FB8"/>
    <w:rsid w:val="04871DE8"/>
    <w:rsid w:val="048F6485"/>
    <w:rsid w:val="04A12403"/>
    <w:rsid w:val="04A45BAD"/>
    <w:rsid w:val="04A815F7"/>
    <w:rsid w:val="04AD06A4"/>
    <w:rsid w:val="04BD1E3A"/>
    <w:rsid w:val="04CC624B"/>
    <w:rsid w:val="04DA6B4D"/>
    <w:rsid w:val="04EF7AAD"/>
    <w:rsid w:val="04F0022B"/>
    <w:rsid w:val="050C7718"/>
    <w:rsid w:val="05214F03"/>
    <w:rsid w:val="053F6A98"/>
    <w:rsid w:val="0555772A"/>
    <w:rsid w:val="055E02FB"/>
    <w:rsid w:val="055E4EBB"/>
    <w:rsid w:val="056A3BE2"/>
    <w:rsid w:val="05AE2916"/>
    <w:rsid w:val="05B105BF"/>
    <w:rsid w:val="05B1379B"/>
    <w:rsid w:val="05C6466C"/>
    <w:rsid w:val="05CA02F3"/>
    <w:rsid w:val="05DB67C3"/>
    <w:rsid w:val="05DE172A"/>
    <w:rsid w:val="05E84F40"/>
    <w:rsid w:val="05F02736"/>
    <w:rsid w:val="05F24812"/>
    <w:rsid w:val="05FC3F93"/>
    <w:rsid w:val="06026AB1"/>
    <w:rsid w:val="060D0D66"/>
    <w:rsid w:val="0622111A"/>
    <w:rsid w:val="062C2061"/>
    <w:rsid w:val="06311BAC"/>
    <w:rsid w:val="065345F9"/>
    <w:rsid w:val="067C67DB"/>
    <w:rsid w:val="068158A4"/>
    <w:rsid w:val="06895B05"/>
    <w:rsid w:val="068A15DB"/>
    <w:rsid w:val="068E6EF2"/>
    <w:rsid w:val="069071A1"/>
    <w:rsid w:val="06910540"/>
    <w:rsid w:val="06916ADD"/>
    <w:rsid w:val="06D870D9"/>
    <w:rsid w:val="06E645CC"/>
    <w:rsid w:val="07007517"/>
    <w:rsid w:val="07073FA3"/>
    <w:rsid w:val="07171EC2"/>
    <w:rsid w:val="0726771F"/>
    <w:rsid w:val="072B7F76"/>
    <w:rsid w:val="072E4FBA"/>
    <w:rsid w:val="072F7FC6"/>
    <w:rsid w:val="0732584E"/>
    <w:rsid w:val="07390858"/>
    <w:rsid w:val="073F724E"/>
    <w:rsid w:val="07514512"/>
    <w:rsid w:val="075A7EF6"/>
    <w:rsid w:val="076202A2"/>
    <w:rsid w:val="07653481"/>
    <w:rsid w:val="07666F25"/>
    <w:rsid w:val="076A2A73"/>
    <w:rsid w:val="07AE506C"/>
    <w:rsid w:val="07C22AAD"/>
    <w:rsid w:val="07C3764D"/>
    <w:rsid w:val="07D3662C"/>
    <w:rsid w:val="07E268EA"/>
    <w:rsid w:val="07F66AC5"/>
    <w:rsid w:val="08336294"/>
    <w:rsid w:val="0833764C"/>
    <w:rsid w:val="08380F8C"/>
    <w:rsid w:val="084677D5"/>
    <w:rsid w:val="0848005E"/>
    <w:rsid w:val="084B1A9E"/>
    <w:rsid w:val="084C657D"/>
    <w:rsid w:val="084D12F0"/>
    <w:rsid w:val="084F7150"/>
    <w:rsid w:val="086F3665"/>
    <w:rsid w:val="087B6B61"/>
    <w:rsid w:val="087E40F9"/>
    <w:rsid w:val="08916AA8"/>
    <w:rsid w:val="089F664F"/>
    <w:rsid w:val="08A203F3"/>
    <w:rsid w:val="08AF00C1"/>
    <w:rsid w:val="08B531C0"/>
    <w:rsid w:val="08BB1078"/>
    <w:rsid w:val="08BD1F16"/>
    <w:rsid w:val="08D53034"/>
    <w:rsid w:val="08DA28B3"/>
    <w:rsid w:val="08DD2BEF"/>
    <w:rsid w:val="08F445A7"/>
    <w:rsid w:val="08F536BA"/>
    <w:rsid w:val="0903652D"/>
    <w:rsid w:val="0903773F"/>
    <w:rsid w:val="090556C6"/>
    <w:rsid w:val="09097FE0"/>
    <w:rsid w:val="09104DCD"/>
    <w:rsid w:val="092060A3"/>
    <w:rsid w:val="09336C26"/>
    <w:rsid w:val="094C40B4"/>
    <w:rsid w:val="094E3C0B"/>
    <w:rsid w:val="095216D9"/>
    <w:rsid w:val="095E38C5"/>
    <w:rsid w:val="095F4CFB"/>
    <w:rsid w:val="09606948"/>
    <w:rsid w:val="096C2283"/>
    <w:rsid w:val="096E0D4F"/>
    <w:rsid w:val="09736AE0"/>
    <w:rsid w:val="097F70D9"/>
    <w:rsid w:val="098F25F4"/>
    <w:rsid w:val="099377E9"/>
    <w:rsid w:val="09A028E1"/>
    <w:rsid w:val="09E30E5D"/>
    <w:rsid w:val="09E92511"/>
    <w:rsid w:val="09FE7278"/>
    <w:rsid w:val="0A134329"/>
    <w:rsid w:val="0A143BE1"/>
    <w:rsid w:val="0A286DFB"/>
    <w:rsid w:val="0A5164D1"/>
    <w:rsid w:val="0A537B69"/>
    <w:rsid w:val="0A6C43DE"/>
    <w:rsid w:val="0A9318B7"/>
    <w:rsid w:val="0AB64743"/>
    <w:rsid w:val="0ABC02E8"/>
    <w:rsid w:val="0AC16484"/>
    <w:rsid w:val="0ACB2015"/>
    <w:rsid w:val="0AD20D5E"/>
    <w:rsid w:val="0AD555AC"/>
    <w:rsid w:val="0AED24FC"/>
    <w:rsid w:val="0AFF2EBF"/>
    <w:rsid w:val="0B0F4A80"/>
    <w:rsid w:val="0B106A85"/>
    <w:rsid w:val="0B1B1997"/>
    <w:rsid w:val="0B24532C"/>
    <w:rsid w:val="0B3F6621"/>
    <w:rsid w:val="0B4D2A88"/>
    <w:rsid w:val="0B527B25"/>
    <w:rsid w:val="0B5E0983"/>
    <w:rsid w:val="0B67300E"/>
    <w:rsid w:val="0B6A4840"/>
    <w:rsid w:val="0B707256"/>
    <w:rsid w:val="0B7129F9"/>
    <w:rsid w:val="0B744B6D"/>
    <w:rsid w:val="0B7E60C9"/>
    <w:rsid w:val="0B8730CC"/>
    <w:rsid w:val="0B917A10"/>
    <w:rsid w:val="0B927AF3"/>
    <w:rsid w:val="0B994E16"/>
    <w:rsid w:val="0BA069F6"/>
    <w:rsid w:val="0BB6397D"/>
    <w:rsid w:val="0BB64746"/>
    <w:rsid w:val="0BE05B3D"/>
    <w:rsid w:val="0BEF4F2C"/>
    <w:rsid w:val="0BF03462"/>
    <w:rsid w:val="0BF56721"/>
    <w:rsid w:val="0BFE233D"/>
    <w:rsid w:val="0C165A64"/>
    <w:rsid w:val="0C1A3B45"/>
    <w:rsid w:val="0C34437F"/>
    <w:rsid w:val="0C485EB3"/>
    <w:rsid w:val="0C5161F8"/>
    <w:rsid w:val="0C52360D"/>
    <w:rsid w:val="0C5919D1"/>
    <w:rsid w:val="0C7C1976"/>
    <w:rsid w:val="0C7F638D"/>
    <w:rsid w:val="0C84355F"/>
    <w:rsid w:val="0C89627C"/>
    <w:rsid w:val="0CA556FA"/>
    <w:rsid w:val="0CAA3B0C"/>
    <w:rsid w:val="0CAC6DE2"/>
    <w:rsid w:val="0CBA5E3E"/>
    <w:rsid w:val="0CC5327E"/>
    <w:rsid w:val="0CC82BF8"/>
    <w:rsid w:val="0CCB3B11"/>
    <w:rsid w:val="0CD42BD6"/>
    <w:rsid w:val="0CDE55BC"/>
    <w:rsid w:val="0CDF3914"/>
    <w:rsid w:val="0CEA2CF7"/>
    <w:rsid w:val="0CFA5129"/>
    <w:rsid w:val="0CFF59E2"/>
    <w:rsid w:val="0D035130"/>
    <w:rsid w:val="0D23336E"/>
    <w:rsid w:val="0D284B82"/>
    <w:rsid w:val="0D2A42A8"/>
    <w:rsid w:val="0D343FE9"/>
    <w:rsid w:val="0D3A5239"/>
    <w:rsid w:val="0D3A7039"/>
    <w:rsid w:val="0D4356A8"/>
    <w:rsid w:val="0D501A6D"/>
    <w:rsid w:val="0D636B53"/>
    <w:rsid w:val="0D7E2680"/>
    <w:rsid w:val="0D8735F9"/>
    <w:rsid w:val="0D8972A3"/>
    <w:rsid w:val="0D8C5235"/>
    <w:rsid w:val="0D94436C"/>
    <w:rsid w:val="0D980C13"/>
    <w:rsid w:val="0DB13C44"/>
    <w:rsid w:val="0DB40989"/>
    <w:rsid w:val="0DB607B8"/>
    <w:rsid w:val="0DC22600"/>
    <w:rsid w:val="0DC51AC4"/>
    <w:rsid w:val="0DC63EF2"/>
    <w:rsid w:val="0DD75C5E"/>
    <w:rsid w:val="0DE9579A"/>
    <w:rsid w:val="0DFF4B13"/>
    <w:rsid w:val="0E093416"/>
    <w:rsid w:val="0E2D4DCF"/>
    <w:rsid w:val="0E402695"/>
    <w:rsid w:val="0E673CAF"/>
    <w:rsid w:val="0E6B4543"/>
    <w:rsid w:val="0E777792"/>
    <w:rsid w:val="0E797961"/>
    <w:rsid w:val="0E7B1FCA"/>
    <w:rsid w:val="0E880E39"/>
    <w:rsid w:val="0E9D025B"/>
    <w:rsid w:val="0EA3277B"/>
    <w:rsid w:val="0EA8225F"/>
    <w:rsid w:val="0EAA24D5"/>
    <w:rsid w:val="0EAB2800"/>
    <w:rsid w:val="0EB12E2A"/>
    <w:rsid w:val="0ED01837"/>
    <w:rsid w:val="0ED33A29"/>
    <w:rsid w:val="0EF97174"/>
    <w:rsid w:val="0F021563"/>
    <w:rsid w:val="0F0F3D45"/>
    <w:rsid w:val="0F180250"/>
    <w:rsid w:val="0F2550AA"/>
    <w:rsid w:val="0F255367"/>
    <w:rsid w:val="0F266A1B"/>
    <w:rsid w:val="0F2B146F"/>
    <w:rsid w:val="0F2F36F8"/>
    <w:rsid w:val="0F3A116B"/>
    <w:rsid w:val="0F4C6463"/>
    <w:rsid w:val="0F511411"/>
    <w:rsid w:val="0F623D06"/>
    <w:rsid w:val="0F703346"/>
    <w:rsid w:val="0F80004E"/>
    <w:rsid w:val="0F871EAB"/>
    <w:rsid w:val="0F9F1528"/>
    <w:rsid w:val="0FA6689D"/>
    <w:rsid w:val="0FDF5A14"/>
    <w:rsid w:val="1008703A"/>
    <w:rsid w:val="10126FBC"/>
    <w:rsid w:val="101A497B"/>
    <w:rsid w:val="102925AB"/>
    <w:rsid w:val="103809FF"/>
    <w:rsid w:val="10655CF3"/>
    <w:rsid w:val="10764104"/>
    <w:rsid w:val="108230A5"/>
    <w:rsid w:val="10854519"/>
    <w:rsid w:val="10895A07"/>
    <w:rsid w:val="108C64EF"/>
    <w:rsid w:val="10925EE1"/>
    <w:rsid w:val="1096068D"/>
    <w:rsid w:val="10B951CF"/>
    <w:rsid w:val="10BA53FD"/>
    <w:rsid w:val="10BB3068"/>
    <w:rsid w:val="10C23AFA"/>
    <w:rsid w:val="10CA24C8"/>
    <w:rsid w:val="10D82C05"/>
    <w:rsid w:val="10DF078E"/>
    <w:rsid w:val="10FF2114"/>
    <w:rsid w:val="110E3EB6"/>
    <w:rsid w:val="11131D94"/>
    <w:rsid w:val="111676F8"/>
    <w:rsid w:val="111778A8"/>
    <w:rsid w:val="111E4B32"/>
    <w:rsid w:val="1124277B"/>
    <w:rsid w:val="113D59D7"/>
    <w:rsid w:val="11421E5E"/>
    <w:rsid w:val="115958E8"/>
    <w:rsid w:val="11617971"/>
    <w:rsid w:val="11622F64"/>
    <w:rsid w:val="116C0AA4"/>
    <w:rsid w:val="116F4939"/>
    <w:rsid w:val="11846297"/>
    <w:rsid w:val="118660F9"/>
    <w:rsid w:val="11941792"/>
    <w:rsid w:val="11954FC8"/>
    <w:rsid w:val="119B169F"/>
    <w:rsid w:val="11AD4D58"/>
    <w:rsid w:val="11B67206"/>
    <w:rsid w:val="11BA4661"/>
    <w:rsid w:val="11BA6A1A"/>
    <w:rsid w:val="11E3621C"/>
    <w:rsid w:val="11E411C4"/>
    <w:rsid w:val="11EE75FC"/>
    <w:rsid w:val="11FA2349"/>
    <w:rsid w:val="12044AB3"/>
    <w:rsid w:val="120E0A30"/>
    <w:rsid w:val="120E4E60"/>
    <w:rsid w:val="12124AB5"/>
    <w:rsid w:val="121836A1"/>
    <w:rsid w:val="12342A01"/>
    <w:rsid w:val="12381464"/>
    <w:rsid w:val="12533BE9"/>
    <w:rsid w:val="125B1CEE"/>
    <w:rsid w:val="126548EE"/>
    <w:rsid w:val="12817181"/>
    <w:rsid w:val="129E267E"/>
    <w:rsid w:val="129E41E5"/>
    <w:rsid w:val="12AA4BE9"/>
    <w:rsid w:val="12AD464A"/>
    <w:rsid w:val="12C003F7"/>
    <w:rsid w:val="12C7679B"/>
    <w:rsid w:val="12CB658F"/>
    <w:rsid w:val="12CC34CB"/>
    <w:rsid w:val="12D04177"/>
    <w:rsid w:val="12DD774D"/>
    <w:rsid w:val="12E20B88"/>
    <w:rsid w:val="12E85A12"/>
    <w:rsid w:val="12EB04FE"/>
    <w:rsid w:val="12FD3C17"/>
    <w:rsid w:val="13012566"/>
    <w:rsid w:val="13026866"/>
    <w:rsid w:val="131F3842"/>
    <w:rsid w:val="133E4EC4"/>
    <w:rsid w:val="136404F3"/>
    <w:rsid w:val="137256CA"/>
    <w:rsid w:val="137E2663"/>
    <w:rsid w:val="13AD48CA"/>
    <w:rsid w:val="13B61E8E"/>
    <w:rsid w:val="13BD2572"/>
    <w:rsid w:val="13BE1FBB"/>
    <w:rsid w:val="13C23A1B"/>
    <w:rsid w:val="13C76244"/>
    <w:rsid w:val="13CF28FB"/>
    <w:rsid w:val="13DA7C15"/>
    <w:rsid w:val="13EA5E5F"/>
    <w:rsid w:val="13FF0D0B"/>
    <w:rsid w:val="14107AE9"/>
    <w:rsid w:val="14175E0A"/>
    <w:rsid w:val="141F1BA5"/>
    <w:rsid w:val="142A2204"/>
    <w:rsid w:val="14446EDD"/>
    <w:rsid w:val="146B26BB"/>
    <w:rsid w:val="1472255F"/>
    <w:rsid w:val="14782396"/>
    <w:rsid w:val="148942E3"/>
    <w:rsid w:val="148B031E"/>
    <w:rsid w:val="14AC25B0"/>
    <w:rsid w:val="14AE0BED"/>
    <w:rsid w:val="14AF303C"/>
    <w:rsid w:val="14BE55AD"/>
    <w:rsid w:val="14E00FC5"/>
    <w:rsid w:val="14E21050"/>
    <w:rsid w:val="14E52CFF"/>
    <w:rsid w:val="14EE2BDA"/>
    <w:rsid w:val="1502113A"/>
    <w:rsid w:val="15084F99"/>
    <w:rsid w:val="150D2EFA"/>
    <w:rsid w:val="151308D4"/>
    <w:rsid w:val="151E3433"/>
    <w:rsid w:val="15250257"/>
    <w:rsid w:val="15250840"/>
    <w:rsid w:val="15281376"/>
    <w:rsid w:val="1534197E"/>
    <w:rsid w:val="1538725F"/>
    <w:rsid w:val="15422545"/>
    <w:rsid w:val="155778C6"/>
    <w:rsid w:val="156508EF"/>
    <w:rsid w:val="15693006"/>
    <w:rsid w:val="156A5AB1"/>
    <w:rsid w:val="15716A99"/>
    <w:rsid w:val="157177C3"/>
    <w:rsid w:val="1581047E"/>
    <w:rsid w:val="15890531"/>
    <w:rsid w:val="15895642"/>
    <w:rsid w:val="15A444EB"/>
    <w:rsid w:val="15B0540D"/>
    <w:rsid w:val="15B7532E"/>
    <w:rsid w:val="15C56F14"/>
    <w:rsid w:val="15C84147"/>
    <w:rsid w:val="15CA017F"/>
    <w:rsid w:val="15D71AD5"/>
    <w:rsid w:val="15DC38C2"/>
    <w:rsid w:val="15F23B4A"/>
    <w:rsid w:val="15FC08F6"/>
    <w:rsid w:val="16204A74"/>
    <w:rsid w:val="164442E3"/>
    <w:rsid w:val="1646133C"/>
    <w:rsid w:val="165931D9"/>
    <w:rsid w:val="16682D3E"/>
    <w:rsid w:val="167046E9"/>
    <w:rsid w:val="167E382D"/>
    <w:rsid w:val="168143F4"/>
    <w:rsid w:val="16A5066B"/>
    <w:rsid w:val="16C974D4"/>
    <w:rsid w:val="16CC4D1F"/>
    <w:rsid w:val="16D43DC5"/>
    <w:rsid w:val="16DB7C16"/>
    <w:rsid w:val="16DC0535"/>
    <w:rsid w:val="16F956D8"/>
    <w:rsid w:val="170716B6"/>
    <w:rsid w:val="17315D5C"/>
    <w:rsid w:val="17474573"/>
    <w:rsid w:val="1748083E"/>
    <w:rsid w:val="174D24DD"/>
    <w:rsid w:val="17505641"/>
    <w:rsid w:val="17553F9F"/>
    <w:rsid w:val="175623CE"/>
    <w:rsid w:val="176538DA"/>
    <w:rsid w:val="178246D4"/>
    <w:rsid w:val="17914610"/>
    <w:rsid w:val="1794775D"/>
    <w:rsid w:val="17A24A7D"/>
    <w:rsid w:val="17C376AD"/>
    <w:rsid w:val="17CB4905"/>
    <w:rsid w:val="17D01F3A"/>
    <w:rsid w:val="17DC7DAF"/>
    <w:rsid w:val="17DD1CB2"/>
    <w:rsid w:val="17DF40F7"/>
    <w:rsid w:val="180224D1"/>
    <w:rsid w:val="180E4FC5"/>
    <w:rsid w:val="18170B93"/>
    <w:rsid w:val="18171331"/>
    <w:rsid w:val="18243C58"/>
    <w:rsid w:val="18396192"/>
    <w:rsid w:val="18466B2E"/>
    <w:rsid w:val="184A4BE3"/>
    <w:rsid w:val="185060EC"/>
    <w:rsid w:val="185A42FA"/>
    <w:rsid w:val="186829A6"/>
    <w:rsid w:val="18870C54"/>
    <w:rsid w:val="189D2207"/>
    <w:rsid w:val="189D4742"/>
    <w:rsid w:val="18A211F6"/>
    <w:rsid w:val="18A45C40"/>
    <w:rsid w:val="18B41D16"/>
    <w:rsid w:val="18D57338"/>
    <w:rsid w:val="18D659D2"/>
    <w:rsid w:val="18D8035B"/>
    <w:rsid w:val="18D82C9E"/>
    <w:rsid w:val="18E96032"/>
    <w:rsid w:val="18EE62E8"/>
    <w:rsid w:val="18EF6677"/>
    <w:rsid w:val="18F62584"/>
    <w:rsid w:val="18F96461"/>
    <w:rsid w:val="1903629F"/>
    <w:rsid w:val="19116F8E"/>
    <w:rsid w:val="191F13C5"/>
    <w:rsid w:val="192344FC"/>
    <w:rsid w:val="192F5D97"/>
    <w:rsid w:val="19551A74"/>
    <w:rsid w:val="195F7D63"/>
    <w:rsid w:val="197C2433"/>
    <w:rsid w:val="197D1062"/>
    <w:rsid w:val="19933139"/>
    <w:rsid w:val="19976C65"/>
    <w:rsid w:val="19A7610F"/>
    <w:rsid w:val="19AC4F46"/>
    <w:rsid w:val="19B81D23"/>
    <w:rsid w:val="19D57461"/>
    <w:rsid w:val="19E70437"/>
    <w:rsid w:val="19E74602"/>
    <w:rsid w:val="19EE7D0B"/>
    <w:rsid w:val="19FB6BA4"/>
    <w:rsid w:val="19FF7B89"/>
    <w:rsid w:val="1A077D86"/>
    <w:rsid w:val="1A085685"/>
    <w:rsid w:val="1A191F3E"/>
    <w:rsid w:val="1A2244B6"/>
    <w:rsid w:val="1A25452E"/>
    <w:rsid w:val="1A285C6E"/>
    <w:rsid w:val="1A3417B8"/>
    <w:rsid w:val="1A34568A"/>
    <w:rsid w:val="1A4B5CA1"/>
    <w:rsid w:val="1A5163D6"/>
    <w:rsid w:val="1A5204BD"/>
    <w:rsid w:val="1A54768F"/>
    <w:rsid w:val="1A5A669E"/>
    <w:rsid w:val="1A615557"/>
    <w:rsid w:val="1A796C32"/>
    <w:rsid w:val="1A7C7103"/>
    <w:rsid w:val="1AA35A80"/>
    <w:rsid w:val="1AAB563E"/>
    <w:rsid w:val="1AB36C5E"/>
    <w:rsid w:val="1AB9028C"/>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C1D36F1"/>
    <w:rsid w:val="1C247D0B"/>
    <w:rsid w:val="1C291BAA"/>
    <w:rsid w:val="1C386892"/>
    <w:rsid w:val="1C4A05F8"/>
    <w:rsid w:val="1C4A2683"/>
    <w:rsid w:val="1C5D7BFA"/>
    <w:rsid w:val="1C5E6C62"/>
    <w:rsid w:val="1C5F292D"/>
    <w:rsid w:val="1C5F3B2B"/>
    <w:rsid w:val="1C631E26"/>
    <w:rsid w:val="1C6F10B8"/>
    <w:rsid w:val="1C7530BF"/>
    <w:rsid w:val="1C961365"/>
    <w:rsid w:val="1CA23F30"/>
    <w:rsid w:val="1CBC5611"/>
    <w:rsid w:val="1CD22EF6"/>
    <w:rsid w:val="1CD7177C"/>
    <w:rsid w:val="1CDE68ED"/>
    <w:rsid w:val="1CE14471"/>
    <w:rsid w:val="1CE95E52"/>
    <w:rsid w:val="1CEF02A3"/>
    <w:rsid w:val="1CF005FD"/>
    <w:rsid w:val="1CF6531E"/>
    <w:rsid w:val="1CF73467"/>
    <w:rsid w:val="1D0A5C6D"/>
    <w:rsid w:val="1D0B195E"/>
    <w:rsid w:val="1D1E3E53"/>
    <w:rsid w:val="1D22539B"/>
    <w:rsid w:val="1D244763"/>
    <w:rsid w:val="1D3570D5"/>
    <w:rsid w:val="1D3D4708"/>
    <w:rsid w:val="1D48400E"/>
    <w:rsid w:val="1D4E0EB2"/>
    <w:rsid w:val="1D5255A7"/>
    <w:rsid w:val="1D5A2F24"/>
    <w:rsid w:val="1D5C683A"/>
    <w:rsid w:val="1D693FA7"/>
    <w:rsid w:val="1D7B406F"/>
    <w:rsid w:val="1D8F4E65"/>
    <w:rsid w:val="1D977656"/>
    <w:rsid w:val="1DB553DF"/>
    <w:rsid w:val="1DBF1882"/>
    <w:rsid w:val="1DC964EA"/>
    <w:rsid w:val="1DCE009D"/>
    <w:rsid w:val="1DDB7496"/>
    <w:rsid w:val="1DE366AE"/>
    <w:rsid w:val="1DE44254"/>
    <w:rsid w:val="1DF04BC7"/>
    <w:rsid w:val="1DF17BE1"/>
    <w:rsid w:val="1E3A10AF"/>
    <w:rsid w:val="1E3A3326"/>
    <w:rsid w:val="1E4719A3"/>
    <w:rsid w:val="1E5F1F97"/>
    <w:rsid w:val="1E6C5F4E"/>
    <w:rsid w:val="1E773774"/>
    <w:rsid w:val="1E841CFD"/>
    <w:rsid w:val="1E875401"/>
    <w:rsid w:val="1EA65561"/>
    <w:rsid w:val="1EAD4127"/>
    <w:rsid w:val="1EB70BD9"/>
    <w:rsid w:val="1EB8797A"/>
    <w:rsid w:val="1ECD4FF5"/>
    <w:rsid w:val="1EEC719E"/>
    <w:rsid w:val="1EF7018A"/>
    <w:rsid w:val="1F0242AA"/>
    <w:rsid w:val="1F044236"/>
    <w:rsid w:val="1F1F2D3D"/>
    <w:rsid w:val="1F25251D"/>
    <w:rsid w:val="1F2B5438"/>
    <w:rsid w:val="1F2F41FD"/>
    <w:rsid w:val="1F332069"/>
    <w:rsid w:val="1F390590"/>
    <w:rsid w:val="1F3E5153"/>
    <w:rsid w:val="1F424A01"/>
    <w:rsid w:val="1F484B9B"/>
    <w:rsid w:val="1F48770A"/>
    <w:rsid w:val="1F4C6748"/>
    <w:rsid w:val="1F543A73"/>
    <w:rsid w:val="1F582479"/>
    <w:rsid w:val="1F595467"/>
    <w:rsid w:val="1F5B2F4F"/>
    <w:rsid w:val="1F5C06A1"/>
    <w:rsid w:val="1FB80942"/>
    <w:rsid w:val="1FBB5482"/>
    <w:rsid w:val="1FC73DB2"/>
    <w:rsid w:val="2001262E"/>
    <w:rsid w:val="200D64BE"/>
    <w:rsid w:val="20153599"/>
    <w:rsid w:val="201B2789"/>
    <w:rsid w:val="201F4440"/>
    <w:rsid w:val="20256516"/>
    <w:rsid w:val="202F579D"/>
    <w:rsid w:val="204C44A6"/>
    <w:rsid w:val="20584BED"/>
    <w:rsid w:val="20916684"/>
    <w:rsid w:val="20D60AAE"/>
    <w:rsid w:val="20D84C43"/>
    <w:rsid w:val="20DE5B9D"/>
    <w:rsid w:val="20DF61AB"/>
    <w:rsid w:val="20F5066D"/>
    <w:rsid w:val="21061BA2"/>
    <w:rsid w:val="2121427E"/>
    <w:rsid w:val="21262CBA"/>
    <w:rsid w:val="212B1C97"/>
    <w:rsid w:val="212F35F6"/>
    <w:rsid w:val="21361FB5"/>
    <w:rsid w:val="214B3D89"/>
    <w:rsid w:val="21575426"/>
    <w:rsid w:val="215C1F77"/>
    <w:rsid w:val="217414EF"/>
    <w:rsid w:val="217554C8"/>
    <w:rsid w:val="2177769E"/>
    <w:rsid w:val="217E1DFE"/>
    <w:rsid w:val="219723DC"/>
    <w:rsid w:val="21D25FF2"/>
    <w:rsid w:val="21E056C0"/>
    <w:rsid w:val="21E2346F"/>
    <w:rsid w:val="21EF4908"/>
    <w:rsid w:val="21F70210"/>
    <w:rsid w:val="22105252"/>
    <w:rsid w:val="22322466"/>
    <w:rsid w:val="22344A9E"/>
    <w:rsid w:val="223552C7"/>
    <w:rsid w:val="22363269"/>
    <w:rsid w:val="223C2DAF"/>
    <w:rsid w:val="223E2651"/>
    <w:rsid w:val="224E2864"/>
    <w:rsid w:val="224E39C0"/>
    <w:rsid w:val="226575C4"/>
    <w:rsid w:val="22682C5C"/>
    <w:rsid w:val="226D3EEA"/>
    <w:rsid w:val="226E077B"/>
    <w:rsid w:val="22923DE9"/>
    <w:rsid w:val="22973417"/>
    <w:rsid w:val="229D5794"/>
    <w:rsid w:val="22BF3D00"/>
    <w:rsid w:val="22C10F34"/>
    <w:rsid w:val="22C1459E"/>
    <w:rsid w:val="22C16F92"/>
    <w:rsid w:val="22C17DB5"/>
    <w:rsid w:val="22C629AC"/>
    <w:rsid w:val="22CB01D1"/>
    <w:rsid w:val="22DD27AA"/>
    <w:rsid w:val="22E96F92"/>
    <w:rsid w:val="22F870EC"/>
    <w:rsid w:val="23032953"/>
    <w:rsid w:val="23060CEA"/>
    <w:rsid w:val="23085EFE"/>
    <w:rsid w:val="230D3451"/>
    <w:rsid w:val="230E5678"/>
    <w:rsid w:val="231074AE"/>
    <w:rsid w:val="23257653"/>
    <w:rsid w:val="23441FFA"/>
    <w:rsid w:val="234B3276"/>
    <w:rsid w:val="23573ECC"/>
    <w:rsid w:val="23626B1C"/>
    <w:rsid w:val="236E03B0"/>
    <w:rsid w:val="23723533"/>
    <w:rsid w:val="23773623"/>
    <w:rsid w:val="2377693D"/>
    <w:rsid w:val="237D6817"/>
    <w:rsid w:val="23904EBC"/>
    <w:rsid w:val="23921988"/>
    <w:rsid w:val="23996B76"/>
    <w:rsid w:val="239D0541"/>
    <w:rsid w:val="239F724D"/>
    <w:rsid w:val="23A43BC8"/>
    <w:rsid w:val="23AB1721"/>
    <w:rsid w:val="23D95FBD"/>
    <w:rsid w:val="23EF0BE1"/>
    <w:rsid w:val="24002E5E"/>
    <w:rsid w:val="2401409C"/>
    <w:rsid w:val="24030096"/>
    <w:rsid w:val="24044127"/>
    <w:rsid w:val="24116F89"/>
    <w:rsid w:val="24175851"/>
    <w:rsid w:val="24435E0A"/>
    <w:rsid w:val="245734DF"/>
    <w:rsid w:val="245A6743"/>
    <w:rsid w:val="246658A8"/>
    <w:rsid w:val="2466751E"/>
    <w:rsid w:val="246A08B9"/>
    <w:rsid w:val="24754B15"/>
    <w:rsid w:val="247F64CC"/>
    <w:rsid w:val="248D420D"/>
    <w:rsid w:val="248F3041"/>
    <w:rsid w:val="24921B27"/>
    <w:rsid w:val="24A0121D"/>
    <w:rsid w:val="24B47257"/>
    <w:rsid w:val="24B97631"/>
    <w:rsid w:val="24BD5AA0"/>
    <w:rsid w:val="24C90419"/>
    <w:rsid w:val="24DC693F"/>
    <w:rsid w:val="24E32289"/>
    <w:rsid w:val="24ED1C1E"/>
    <w:rsid w:val="24F0284D"/>
    <w:rsid w:val="250E20E4"/>
    <w:rsid w:val="25202C91"/>
    <w:rsid w:val="25212B83"/>
    <w:rsid w:val="252331A5"/>
    <w:rsid w:val="25266F92"/>
    <w:rsid w:val="252733A0"/>
    <w:rsid w:val="252C19DC"/>
    <w:rsid w:val="253C437F"/>
    <w:rsid w:val="25425A19"/>
    <w:rsid w:val="25433441"/>
    <w:rsid w:val="25490B3E"/>
    <w:rsid w:val="255C215A"/>
    <w:rsid w:val="255C46D3"/>
    <w:rsid w:val="25614063"/>
    <w:rsid w:val="256F1A53"/>
    <w:rsid w:val="25744759"/>
    <w:rsid w:val="25776C46"/>
    <w:rsid w:val="258B2F2B"/>
    <w:rsid w:val="258B31A0"/>
    <w:rsid w:val="25935964"/>
    <w:rsid w:val="25A14E4D"/>
    <w:rsid w:val="25A17F32"/>
    <w:rsid w:val="25AB3D1C"/>
    <w:rsid w:val="25AD7BE8"/>
    <w:rsid w:val="25B21B15"/>
    <w:rsid w:val="25D90A1B"/>
    <w:rsid w:val="25E22192"/>
    <w:rsid w:val="25E70E85"/>
    <w:rsid w:val="25F332FF"/>
    <w:rsid w:val="25FE37D6"/>
    <w:rsid w:val="26202999"/>
    <w:rsid w:val="26242E36"/>
    <w:rsid w:val="26274BB6"/>
    <w:rsid w:val="263227F8"/>
    <w:rsid w:val="2634261F"/>
    <w:rsid w:val="26356536"/>
    <w:rsid w:val="26405E19"/>
    <w:rsid w:val="264542D6"/>
    <w:rsid w:val="26465658"/>
    <w:rsid w:val="264779F7"/>
    <w:rsid w:val="26552372"/>
    <w:rsid w:val="267A6D2E"/>
    <w:rsid w:val="268B243A"/>
    <w:rsid w:val="269221D6"/>
    <w:rsid w:val="269C627F"/>
    <w:rsid w:val="26A5686B"/>
    <w:rsid w:val="26AA20D3"/>
    <w:rsid w:val="26B43DCE"/>
    <w:rsid w:val="26C705B0"/>
    <w:rsid w:val="26DD3B73"/>
    <w:rsid w:val="26E576C7"/>
    <w:rsid w:val="26E663D1"/>
    <w:rsid w:val="26F04260"/>
    <w:rsid w:val="26F81EB4"/>
    <w:rsid w:val="26FB2F1B"/>
    <w:rsid w:val="271D63E4"/>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554C"/>
    <w:rsid w:val="27CB6AE3"/>
    <w:rsid w:val="27D2258D"/>
    <w:rsid w:val="27D65541"/>
    <w:rsid w:val="27E466F0"/>
    <w:rsid w:val="27EC5FCE"/>
    <w:rsid w:val="28277E8C"/>
    <w:rsid w:val="282B0C73"/>
    <w:rsid w:val="283D2292"/>
    <w:rsid w:val="285343B6"/>
    <w:rsid w:val="285C775E"/>
    <w:rsid w:val="286651CF"/>
    <w:rsid w:val="28671C46"/>
    <w:rsid w:val="28817213"/>
    <w:rsid w:val="2885745E"/>
    <w:rsid w:val="288B1F91"/>
    <w:rsid w:val="2897657D"/>
    <w:rsid w:val="28A7603E"/>
    <w:rsid w:val="28AB19F4"/>
    <w:rsid w:val="28B30E3A"/>
    <w:rsid w:val="28D71E0B"/>
    <w:rsid w:val="28DC39BE"/>
    <w:rsid w:val="28DD5BCB"/>
    <w:rsid w:val="28E01F8A"/>
    <w:rsid w:val="28F045AC"/>
    <w:rsid w:val="28F85417"/>
    <w:rsid w:val="29050B03"/>
    <w:rsid w:val="290E3D0C"/>
    <w:rsid w:val="29115393"/>
    <w:rsid w:val="291D583E"/>
    <w:rsid w:val="29243D56"/>
    <w:rsid w:val="2926654F"/>
    <w:rsid w:val="293B5829"/>
    <w:rsid w:val="294E2BBE"/>
    <w:rsid w:val="29602BC4"/>
    <w:rsid w:val="29754C24"/>
    <w:rsid w:val="297C4E20"/>
    <w:rsid w:val="299760C7"/>
    <w:rsid w:val="2999350D"/>
    <w:rsid w:val="299E7E78"/>
    <w:rsid w:val="29B759BC"/>
    <w:rsid w:val="29D60A95"/>
    <w:rsid w:val="29D94FA1"/>
    <w:rsid w:val="29E31604"/>
    <w:rsid w:val="29E3388E"/>
    <w:rsid w:val="29F87E04"/>
    <w:rsid w:val="2A182924"/>
    <w:rsid w:val="2A1A7BC7"/>
    <w:rsid w:val="2A2D73EC"/>
    <w:rsid w:val="2A2E4CEB"/>
    <w:rsid w:val="2A3B565F"/>
    <w:rsid w:val="2A3F5A89"/>
    <w:rsid w:val="2A4F3BBF"/>
    <w:rsid w:val="2A555F3D"/>
    <w:rsid w:val="2A645B0E"/>
    <w:rsid w:val="2A653259"/>
    <w:rsid w:val="2A8F4841"/>
    <w:rsid w:val="2AA369DD"/>
    <w:rsid w:val="2AAE39DE"/>
    <w:rsid w:val="2AB32B2A"/>
    <w:rsid w:val="2AC55C66"/>
    <w:rsid w:val="2AD06022"/>
    <w:rsid w:val="2AD067C9"/>
    <w:rsid w:val="2AD63975"/>
    <w:rsid w:val="2ADD1B0D"/>
    <w:rsid w:val="2AEC47FC"/>
    <w:rsid w:val="2AF1331E"/>
    <w:rsid w:val="2AF81BE3"/>
    <w:rsid w:val="2AFF23A5"/>
    <w:rsid w:val="2B024C79"/>
    <w:rsid w:val="2B0F5533"/>
    <w:rsid w:val="2B20324F"/>
    <w:rsid w:val="2B361003"/>
    <w:rsid w:val="2B3762A6"/>
    <w:rsid w:val="2B3C6641"/>
    <w:rsid w:val="2B4144E2"/>
    <w:rsid w:val="2B51786F"/>
    <w:rsid w:val="2B532272"/>
    <w:rsid w:val="2B5B0F6E"/>
    <w:rsid w:val="2B925FDF"/>
    <w:rsid w:val="2B97510E"/>
    <w:rsid w:val="2B9970F1"/>
    <w:rsid w:val="2BC43D5D"/>
    <w:rsid w:val="2BD9047F"/>
    <w:rsid w:val="2BE46810"/>
    <w:rsid w:val="2BE501C7"/>
    <w:rsid w:val="2BED2E55"/>
    <w:rsid w:val="2C0028BD"/>
    <w:rsid w:val="2C1738CF"/>
    <w:rsid w:val="2C1945D8"/>
    <w:rsid w:val="2C1B1368"/>
    <w:rsid w:val="2C6404B6"/>
    <w:rsid w:val="2C6420B7"/>
    <w:rsid w:val="2C6C7918"/>
    <w:rsid w:val="2C783906"/>
    <w:rsid w:val="2C7E3B86"/>
    <w:rsid w:val="2CB5787B"/>
    <w:rsid w:val="2CB65D9A"/>
    <w:rsid w:val="2CCA4381"/>
    <w:rsid w:val="2CCE3BE1"/>
    <w:rsid w:val="2CD30F03"/>
    <w:rsid w:val="2CDE06BA"/>
    <w:rsid w:val="2CDF1B63"/>
    <w:rsid w:val="2CF1389A"/>
    <w:rsid w:val="2CF249BE"/>
    <w:rsid w:val="2CF92346"/>
    <w:rsid w:val="2CFC1554"/>
    <w:rsid w:val="2CFF3512"/>
    <w:rsid w:val="2D013765"/>
    <w:rsid w:val="2D070D62"/>
    <w:rsid w:val="2D0B7148"/>
    <w:rsid w:val="2D17770B"/>
    <w:rsid w:val="2D354DCA"/>
    <w:rsid w:val="2D466457"/>
    <w:rsid w:val="2D48403D"/>
    <w:rsid w:val="2D4C5FFB"/>
    <w:rsid w:val="2D5748B7"/>
    <w:rsid w:val="2D6E6943"/>
    <w:rsid w:val="2D7E4AF7"/>
    <w:rsid w:val="2D8519AC"/>
    <w:rsid w:val="2D87777E"/>
    <w:rsid w:val="2D8E349F"/>
    <w:rsid w:val="2D9469E6"/>
    <w:rsid w:val="2D9D7A77"/>
    <w:rsid w:val="2DAF78FF"/>
    <w:rsid w:val="2DD93F77"/>
    <w:rsid w:val="2DDE7A41"/>
    <w:rsid w:val="2DE116CE"/>
    <w:rsid w:val="2DEF20F0"/>
    <w:rsid w:val="2DFE0672"/>
    <w:rsid w:val="2E041306"/>
    <w:rsid w:val="2E106E4C"/>
    <w:rsid w:val="2E167CCE"/>
    <w:rsid w:val="2E246D3F"/>
    <w:rsid w:val="2E36469A"/>
    <w:rsid w:val="2E3F6F4F"/>
    <w:rsid w:val="2E4C211D"/>
    <w:rsid w:val="2E4D7F49"/>
    <w:rsid w:val="2E4E05E7"/>
    <w:rsid w:val="2E4E1129"/>
    <w:rsid w:val="2E544421"/>
    <w:rsid w:val="2E5A472E"/>
    <w:rsid w:val="2E5B5EA2"/>
    <w:rsid w:val="2E621008"/>
    <w:rsid w:val="2E6446EB"/>
    <w:rsid w:val="2E681DB2"/>
    <w:rsid w:val="2E7F0E61"/>
    <w:rsid w:val="2E7F686F"/>
    <w:rsid w:val="2E870765"/>
    <w:rsid w:val="2E8D0791"/>
    <w:rsid w:val="2E9B39A1"/>
    <w:rsid w:val="2EA94687"/>
    <w:rsid w:val="2EAF6BB3"/>
    <w:rsid w:val="2EE5675B"/>
    <w:rsid w:val="2F047EE8"/>
    <w:rsid w:val="2F082414"/>
    <w:rsid w:val="2F085C75"/>
    <w:rsid w:val="2F2B12A9"/>
    <w:rsid w:val="2F4201CA"/>
    <w:rsid w:val="2F50070F"/>
    <w:rsid w:val="2F524A74"/>
    <w:rsid w:val="2F5A4B10"/>
    <w:rsid w:val="2F626907"/>
    <w:rsid w:val="2F727CE6"/>
    <w:rsid w:val="2F7505E3"/>
    <w:rsid w:val="2F956224"/>
    <w:rsid w:val="2F9A7BA6"/>
    <w:rsid w:val="2FA23A7C"/>
    <w:rsid w:val="2FA30525"/>
    <w:rsid w:val="2FB275EC"/>
    <w:rsid w:val="2FB449B9"/>
    <w:rsid w:val="2FBD105F"/>
    <w:rsid w:val="2FC73BC7"/>
    <w:rsid w:val="2FCF47FC"/>
    <w:rsid w:val="2FD128B8"/>
    <w:rsid w:val="2FD33F66"/>
    <w:rsid w:val="2FD408E0"/>
    <w:rsid w:val="2FD5001D"/>
    <w:rsid w:val="2FE311E4"/>
    <w:rsid w:val="2FF33BE8"/>
    <w:rsid w:val="2FF608DC"/>
    <w:rsid w:val="2FFD3FAC"/>
    <w:rsid w:val="3004586C"/>
    <w:rsid w:val="30067266"/>
    <w:rsid w:val="30160ACC"/>
    <w:rsid w:val="3045081F"/>
    <w:rsid w:val="30455AC0"/>
    <w:rsid w:val="306825DD"/>
    <w:rsid w:val="30696A3C"/>
    <w:rsid w:val="30834BF9"/>
    <w:rsid w:val="30944718"/>
    <w:rsid w:val="309A02D0"/>
    <w:rsid w:val="30B60702"/>
    <w:rsid w:val="30C01078"/>
    <w:rsid w:val="30CF0FD9"/>
    <w:rsid w:val="30F34FAE"/>
    <w:rsid w:val="310A0E65"/>
    <w:rsid w:val="3133127A"/>
    <w:rsid w:val="31353CD7"/>
    <w:rsid w:val="313E3AD9"/>
    <w:rsid w:val="313E620E"/>
    <w:rsid w:val="313E6CDE"/>
    <w:rsid w:val="316F42A9"/>
    <w:rsid w:val="31727F68"/>
    <w:rsid w:val="317662E9"/>
    <w:rsid w:val="317C63D3"/>
    <w:rsid w:val="31946A67"/>
    <w:rsid w:val="31954796"/>
    <w:rsid w:val="31962DAE"/>
    <w:rsid w:val="319F0073"/>
    <w:rsid w:val="31B9498A"/>
    <w:rsid w:val="31C433C3"/>
    <w:rsid w:val="31DE416C"/>
    <w:rsid w:val="31E83834"/>
    <w:rsid w:val="31EE64B9"/>
    <w:rsid w:val="320342B1"/>
    <w:rsid w:val="32044DED"/>
    <w:rsid w:val="32051176"/>
    <w:rsid w:val="320C562E"/>
    <w:rsid w:val="324B22D2"/>
    <w:rsid w:val="32575E9A"/>
    <w:rsid w:val="325C3AF5"/>
    <w:rsid w:val="325C5B7B"/>
    <w:rsid w:val="326B5445"/>
    <w:rsid w:val="327A0FE8"/>
    <w:rsid w:val="329F684F"/>
    <w:rsid w:val="32B26B6D"/>
    <w:rsid w:val="32BF4FDB"/>
    <w:rsid w:val="32C92CF9"/>
    <w:rsid w:val="32E16709"/>
    <w:rsid w:val="32EE4440"/>
    <w:rsid w:val="32F96ACA"/>
    <w:rsid w:val="330258B3"/>
    <w:rsid w:val="33054642"/>
    <w:rsid w:val="331007BA"/>
    <w:rsid w:val="33106E3B"/>
    <w:rsid w:val="33294383"/>
    <w:rsid w:val="333E4968"/>
    <w:rsid w:val="333F4524"/>
    <w:rsid w:val="334A28B5"/>
    <w:rsid w:val="334B6519"/>
    <w:rsid w:val="334F5C93"/>
    <w:rsid w:val="335D5DB2"/>
    <w:rsid w:val="33735C77"/>
    <w:rsid w:val="337E28B4"/>
    <w:rsid w:val="33951969"/>
    <w:rsid w:val="339B5E01"/>
    <w:rsid w:val="33A31D7A"/>
    <w:rsid w:val="33D163EF"/>
    <w:rsid w:val="33D43249"/>
    <w:rsid w:val="33D45DFD"/>
    <w:rsid w:val="33DC6622"/>
    <w:rsid w:val="33DF5ABE"/>
    <w:rsid w:val="33E605A3"/>
    <w:rsid w:val="33E706E6"/>
    <w:rsid w:val="33F14703"/>
    <w:rsid w:val="33F7797D"/>
    <w:rsid w:val="33FD22BD"/>
    <w:rsid w:val="3406027F"/>
    <w:rsid w:val="342F3DB9"/>
    <w:rsid w:val="343D3142"/>
    <w:rsid w:val="345A0509"/>
    <w:rsid w:val="345B2367"/>
    <w:rsid w:val="34672008"/>
    <w:rsid w:val="348B5095"/>
    <w:rsid w:val="348D1A8C"/>
    <w:rsid w:val="349C31F7"/>
    <w:rsid w:val="34A54544"/>
    <w:rsid w:val="34AE0539"/>
    <w:rsid w:val="34AF3083"/>
    <w:rsid w:val="34B017ED"/>
    <w:rsid w:val="34C20AA1"/>
    <w:rsid w:val="34CB28F5"/>
    <w:rsid w:val="34CD5068"/>
    <w:rsid w:val="34CE2B5B"/>
    <w:rsid w:val="34D747C2"/>
    <w:rsid w:val="34E944F6"/>
    <w:rsid w:val="34E94AA0"/>
    <w:rsid w:val="34F96E62"/>
    <w:rsid w:val="35072EAD"/>
    <w:rsid w:val="350960B1"/>
    <w:rsid w:val="35150114"/>
    <w:rsid w:val="351608A7"/>
    <w:rsid w:val="35217336"/>
    <w:rsid w:val="3525563E"/>
    <w:rsid w:val="35290A77"/>
    <w:rsid w:val="352A0B4B"/>
    <w:rsid w:val="35356F10"/>
    <w:rsid w:val="354840CB"/>
    <w:rsid w:val="355C013C"/>
    <w:rsid w:val="3565420B"/>
    <w:rsid w:val="356A601B"/>
    <w:rsid w:val="3583595D"/>
    <w:rsid w:val="35841013"/>
    <w:rsid w:val="358B79C9"/>
    <w:rsid w:val="359A00B9"/>
    <w:rsid w:val="35BF7AA4"/>
    <w:rsid w:val="35C93DF3"/>
    <w:rsid w:val="35F853BB"/>
    <w:rsid w:val="35FB1676"/>
    <w:rsid w:val="360120A7"/>
    <w:rsid w:val="360C5F28"/>
    <w:rsid w:val="361526DE"/>
    <w:rsid w:val="36225127"/>
    <w:rsid w:val="36237E20"/>
    <w:rsid w:val="36256291"/>
    <w:rsid w:val="36286678"/>
    <w:rsid w:val="362979CB"/>
    <w:rsid w:val="363803C7"/>
    <w:rsid w:val="364E2CE9"/>
    <w:rsid w:val="36560C0B"/>
    <w:rsid w:val="365B28AF"/>
    <w:rsid w:val="36641D94"/>
    <w:rsid w:val="36712764"/>
    <w:rsid w:val="367620D2"/>
    <w:rsid w:val="3686664E"/>
    <w:rsid w:val="3689139F"/>
    <w:rsid w:val="369608CE"/>
    <w:rsid w:val="369B2954"/>
    <w:rsid w:val="36A238B1"/>
    <w:rsid w:val="36BA0FCB"/>
    <w:rsid w:val="36C1037B"/>
    <w:rsid w:val="36C9319E"/>
    <w:rsid w:val="36D067A6"/>
    <w:rsid w:val="36F57F10"/>
    <w:rsid w:val="36FC4486"/>
    <w:rsid w:val="37070D11"/>
    <w:rsid w:val="37175525"/>
    <w:rsid w:val="371A5AC4"/>
    <w:rsid w:val="37201F64"/>
    <w:rsid w:val="373F53DD"/>
    <w:rsid w:val="375948AC"/>
    <w:rsid w:val="376B28D6"/>
    <w:rsid w:val="376C5D00"/>
    <w:rsid w:val="376D427E"/>
    <w:rsid w:val="376E276D"/>
    <w:rsid w:val="37724E83"/>
    <w:rsid w:val="37983FB2"/>
    <w:rsid w:val="379850C2"/>
    <w:rsid w:val="379D4DCD"/>
    <w:rsid w:val="37A04E93"/>
    <w:rsid w:val="37A25A9F"/>
    <w:rsid w:val="37A31CDF"/>
    <w:rsid w:val="37AB1B65"/>
    <w:rsid w:val="37B25C6C"/>
    <w:rsid w:val="37CF154C"/>
    <w:rsid w:val="37EA0A17"/>
    <w:rsid w:val="38067B18"/>
    <w:rsid w:val="38087AC7"/>
    <w:rsid w:val="380A7603"/>
    <w:rsid w:val="380B0BB2"/>
    <w:rsid w:val="380D32F1"/>
    <w:rsid w:val="380D5D0D"/>
    <w:rsid w:val="38196915"/>
    <w:rsid w:val="382F2C1E"/>
    <w:rsid w:val="3860038E"/>
    <w:rsid w:val="38716CD9"/>
    <w:rsid w:val="38801C6C"/>
    <w:rsid w:val="38834A3E"/>
    <w:rsid w:val="38851608"/>
    <w:rsid w:val="38866017"/>
    <w:rsid w:val="38A45712"/>
    <w:rsid w:val="38A47DD9"/>
    <w:rsid w:val="38B04451"/>
    <w:rsid w:val="38CC1F91"/>
    <w:rsid w:val="38CC35B4"/>
    <w:rsid w:val="38D10166"/>
    <w:rsid w:val="38EA5FB0"/>
    <w:rsid w:val="3908401F"/>
    <w:rsid w:val="3908621E"/>
    <w:rsid w:val="39207FD2"/>
    <w:rsid w:val="3933207C"/>
    <w:rsid w:val="393C2E57"/>
    <w:rsid w:val="394668D6"/>
    <w:rsid w:val="394B37F2"/>
    <w:rsid w:val="394C5A0D"/>
    <w:rsid w:val="39530C1B"/>
    <w:rsid w:val="39532C2F"/>
    <w:rsid w:val="397458FC"/>
    <w:rsid w:val="398C2C91"/>
    <w:rsid w:val="39985F30"/>
    <w:rsid w:val="39C72C62"/>
    <w:rsid w:val="39D3500A"/>
    <w:rsid w:val="39D96419"/>
    <w:rsid w:val="39DB057E"/>
    <w:rsid w:val="39E55169"/>
    <w:rsid w:val="39E84553"/>
    <w:rsid w:val="39E86F30"/>
    <w:rsid w:val="39F4018B"/>
    <w:rsid w:val="39F72E22"/>
    <w:rsid w:val="39F847AF"/>
    <w:rsid w:val="3A094E52"/>
    <w:rsid w:val="3A144A89"/>
    <w:rsid w:val="3A174971"/>
    <w:rsid w:val="3A191236"/>
    <w:rsid w:val="3A273045"/>
    <w:rsid w:val="3A2D66B8"/>
    <w:rsid w:val="3A3E4729"/>
    <w:rsid w:val="3A5D1B84"/>
    <w:rsid w:val="3A5F45D1"/>
    <w:rsid w:val="3A675D63"/>
    <w:rsid w:val="3A935D24"/>
    <w:rsid w:val="3A9F7948"/>
    <w:rsid w:val="3AA02CE4"/>
    <w:rsid w:val="3AA628ED"/>
    <w:rsid w:val="3AAB6C4F"/>
    <w:rsid w:val="3AAC6356"/>
    <w:rsid w:val="3AB23C38"/>
    <w:rsid w:val="3ABA4B72"/>
    <w:rsid w:val="3AC76FD5"/>
    <w:rsid w:val="3ACE1617"/>
    <w:rsid w:val="3AD31906"/>
    <w:rsid w:val="3AD969F8"/>
    <w:rsid w:val="3AED1AD3"/>
    <w:rsid w:val="3AFD1BC4"/>
    <w:rsid w:val="3B25439A"/>
    <w:rsid w:val="3B292DA0"/>
    <w:rsid w:val="3B4C622A"/>
    <w:rsid w:val="3B514E5E"/>
    <w:rsid w:val="3B5427BC"/>
    <w:rsid w:val="3B65256F"/>
    <w:rsid w:val="3B7F36AC"/>
    <w:rsid w:val="3B822235"/>
    <w:rsid w:val="3B861D2E"/>
    <w:rsid w:val="3B965B95"/>
    <w:rsid w:val="3B9B1BC5"/>
    <w:rsid w:val="3BA2309F"/>
    <w:rsid w:val="3BC25680"/>
    <w:rsid w:val="3BD653F5"/>
    <w:rsid w:val="3BE16ECF"/>
    <w:rsid w:val="3C0C1744"/>
    <w:rsid w:val="3C117898"/>
    <w:rsid w:val="3C211965"/>
    <w:rsid w:val="3C4708A1"/>
    <w:rsid w:val="3C4B0ED5"/>
    <w:rsid w:val="3C5C7DA9"/>
    <w:rsid w:val="3C7544C5"/>
    <w:rsid w:val="3C790143"/>
    <w:rsid w:val="3C8904DF"/>
    <w:rsid w:val="3CA91418"/>
    <w:rsid w:val="3CAF061D"/>
    <w:rsid w:val="3CB63CA9"/>
    <w:rsid w:val="3CBC1B56"/>
    <w:rsid w:val="3CBD75BF"/>
    <w:rsid w:val="3CC33BCC"/>
    <w:rsid w:val="3CD641A1"/>
    <w:rsid w:val="3CE2490A"/>
    <w:rsid w:val="3CEA648A"/>
    <w:rsid w:val="3D076AAE"/>
    <w:rsid w:val="3D0870AB"/>
    <w:rsid w:val="3D1502D9"/>
    <w:rsid w:val="3D1D0C51"/>
    <w:rsid w:val="3D555673"/>
    <w:rsid w:val="3D5657CC"/>
    <w:rsid w:val="3D5D2E26"/>
    <w:rsid w:val="3D627E02"/>
    <w:rsid w:val="3D6A54CD"/>
    <w:rsid w:val="3D876DDA"/>
    <w:rsid w:val="3D8E5ECA"/>
    <w:rsid w:val="3D8F0A2E"/>
    <w:rsid w:val="3D926692"/>
    <w:rsid w:val="3D947997"/>
    <w:rsid w:val="3DAA0159"/>
    <w:rsid w:val="3DB21166"/>
    <w:rsid w:val="3DB52FFB"/>
    <w:rsid w:val="3DB932B8"/>
    <w:rsid w:val="3DD86EA7"/>
    <w:rsid w:val="3DDB0FBF"/>
    <w:rsid w:val="3DDF3C84"/>
    <w:rsid w:val="3DF33233"/>
    <w:rsid w:val="3DF55B8D"/>
    <w:rsid w:val="3DF740D2"/>
    <w:rsid w:val="3DF9770F"/>
    <w:rsid w:val="3E107D22"/>
    <w:rsid w:val="3E1D4DB4"/>
    <w:rsid w:val="3E277BDA"/>
    <w:rsid w:val="3E2942BE"/>
    <w:rsid w:val="3E300439"/>
    <w:rsid w:val="3E320B89"/>
    <w:rsid w:val="3E3906BC"/>
    <w:rsid w:val="3E494ED3"/>
    <w:rsid w:val="3E5648B2"/>
    <w:rsid w:val="3E684241"/>
    <w:rsid w:val="3E75521D"/>
    <w:rsid w:val="3E83245B"/>
    <w:rsid w:val="3E8412E9"/>
    <w:rsid w:val="3E9328AF"/>
    <w:rsid w:val="3E9A4AD7"/>
    <w:rsid w:val="3E9C33E3"/>
    <w:rsid w:val="3E9C501E"/>
    <w:rsid w:val="3EBC27E6"/>
    <w:rsid w:val="3EC226D1"/>
    <w:rsid w:val="3EC70972"/>
    <w:rsid w:val="3ECF4AA3"/>
    <w:rsid w:val="3EDC10D0"/>
    <w:rsid w:val="3EE10368"/>
    <w:rsid w:val="3EF13BC7"/>
    <w:rsid w:val="3EF44FD4"/>
    <w:rsid w:val="3EF53D00"/>
    <w:rsid w:val="3F035371"/>
    <w:rsid w:val="3F0C4369"/>
    <w:rsid w:val="3F212A90"/>
    <w:rsid w:val="3F2C4235"/>
    <w:rsid w:val="3F2F35EC"/>
    <w:rsid w:val="3F2F53AA"/>
    <w:rsid w:val="3F3603B6"/>
    <w:rsid w:val="3F505DCB"/>
    <w:rsid w:val="3F5D2E4D"/>
    <w:rsid w:val="3F5F1F5C"/>
    <w:rsid w:val="3F6A5EE0"/>
    <w:rsid w:val="3F751F35"/>
    <w:rsid w:val="3F8313C0"/>
    <w:rsid w:val="3F8A14CB"/>
    <w:rsid w:val="3F933E45"/>
    <w:rsid w:val="3F9364E1"/>
    <w:rsid w:val="3F9E0865"/>
    <w:rsid w:val="3FA5009E"/>
    <w:rsid w:val="3FBB6D1B"/>
    <w:rsid w:val="3FD50D82"/>
    <w:rsid w:val="3FDB1475"/>
    <w:rsid w:val="3FDE5AD9"/>
    <w:rsid w:val="3FE56AF2"/>
    <w:rsid w:val="3FF019F4"/>
    <w:rsid w:val="400039DF"/>
    <w:rsid w:val="40080DEE"/>
    <w:rsid w:val="401C7BD5"/>
    <w:rsid w:val="40227083"/>
    <w:rsid w:val="402417C8"/>
    <w:rsid w:val="402E6E49"/>
    <w:rsid w:val="40372073"/>
    <w:rsid w:val="403A0075"/>
    <w:rsid w:val="403B30DF"/>
    <w:rsid w:val="404F52A8"/>
    <w:rsid w:val="4053224E"/>
    <w:rsid w:val="40585F20"/>
    <w:rsid w:val="40A82619"/>
    <w:rsid w:val="40B6211F"/>
    <w:rsid w:val="40C2573C"/>
    <w:rsid w:val="40D34024"/>
    <w:rsid w:val="40D43BA0"/>
    <w:rsid w:val="40E01030"/>
    <w:rsid w:val="40E241CE"/>
    <w:rsid w:val="40E51007"/>
    <w:rsid w:val="40E75B26"/>
    <w:rsid w:val="40EA1C0C"/>
    <w:rsid w:val="40EA78D7"/>
    <w:rsid w:val="40EF076E"/>
    <w:rsid w:val="41046039"/>
    <w:rsid w:val="41055305"/>
    <w:rsid w:val="410F42EE"/>
    <w:rsid w:val="41114BBA"/>
    <w:rsid w:val="41153D55"/>
    <w:rsid w:val="412912D7"/>
    <w:rsid w:val="41366B89"/>
    <w:rsid w:val="41643D6B"/>
    <w:rsid w:val="41771599"/>
    <w:rsid w:val="41A04E11"/>
    <w:rsid w:val="41AA4418"/>
    <w:rsid w:val="41C6181D"/>
    <w:rsid w:val="41C86EE6"/>
    <w:rsid w:val="41C952EA"/>
    <w:rsid w:val="41DB0F0D"/>
    <w:rsid w:val="41DF32B5"/>
    <w:rsid w:val="41F06F3B"/>
    <w:rsid w:val="420558C2"/>
    <w:rsid w:val="42057B28"/>
    <w:rsid w:val="421052B2"/>
    <w:rsid w:val="42190CC2"/>
    <w:rsid w:val="42274BF1"/>
    <w:rsid w:val="422E3E2B"/>
    <w:rsid w:val="422F36E3"/>
    <w:rsid w:val="42307D25"/>
    <w:rsid w:val="42407C97"/>
    <w:rsid w:val="42491125"/>
    <w:rsid w:val="425C634D"/>
    <w:rsid w:val="42680DCC"/>
    <w:rsid w:val="427A44C2"/>
    <w:rsid w:val="42826BB4"/>
    <w:rsid w:val="42880654"/>
    <w:rsid w:val="428A5B21"/>
    <w:rsid w:val="428D14EF"/>
    <w:rsid w:val="4296187E"/>
    <w:rsid w:val="42A65AF0"/>
    <w:rsid w:val="42AD56C6"/>
    <w:rsid w:val="42FF71DC"/>
    <w:rsid w:val="42FF7548"/>
    <w:rsid w:val="43006D78"/>
    <w:rsid w:val="43217EC6"/>
    <w:rsid w:val="432B1FC3"/>
    <w:rsid w:val="43383591"/>
    <w:rsid w:val="434D155D"/>
    <w:rsid w:val="43594292"/>
    <w:rsid w:val="435E53D9"/>
    <w:rsid w:val="437A0D2C"/>
    <w:rsid w:val="438607EE"/>
    <w:rsid w:val="43911F91"/>
    <w:rsid w:val="4394491A"/>
    <w:rsid w:val="43997A97"/>
    <w:rsid w:val="439B27FA"/>
    <w:rsid w:val="43AA1238"/>
    <w:rsid w:val="43BD5DE5"/>
    <w:rsid w:val="43C17B79"/>
    <w:rsid w:val="43CA6D64"/>
    <w:rsid w:val="43D65E39"/>
    <w:rsid w:val="43D6606E"/>
    <w:rsid w:val="43FE3B45"/>
    <w:rsid w:val="441111D7"/>
    <w:rsid w:val="44243658"/>
    <w:rsid w:val="444C64B0"/>
    <w:rsid w:val="444D54BA"/>
    <w:rsid w:val="44523338"/>
    <w:rsid w:val="446E2A13"/>
    <w:rsid w:val="446E6C1A"/>
    <w:rsid w:val="44742FDB"/>
    <w:rsid w:val="448B2102"/>
    <w:rsid w:val="449D508C"/>
    <w:rsid w:val="44A17386"/>
    <w:rsid w:val="44B15AF7"/>
    <w:rsid w:val="44B36E39"/>
    <w:rsid w:val="44C35AE0"/>
    <w:rsid w:val="44EC7013"/>
    <w:rsid w:val="44EF65A4"/>
    <w:rsid w:val="44F02519"/>
    <w:rsid w:val="44F41E19"/>
    <w:rsid w:val="44FB3AE3"/>
    <w:rsid w:val="44FF3C64"/>
    <w:rsid w:val="45061393"/>
    <w:rsid w:val="452454F2"/>
    <w:rsid w:val="4530392C"/>
    <w:rsid w:val="45427AA4"/>
    <w:rsid w:val="45465B65"/>
    <w:rsid w:val="454A33D5"/>
    <w:rsid w:val="45515DC5"/>
    <w:rsid w:val="4552496F"/>
    <w:rsid w:val="455454A2"/>
    <w:rsid w:val="45564CA5"/>
    <w:rsid w:val="455B6233"/>
    <w:rsid w:val="45620AE1"/>
    <w:rsid w:val="456A6A48"/>
    <w:rsid w:val="457C3D14"/>
    <w:rsid w:val="45803914"/>
    <w:rsid w:val="45812191"/>
    <w:rsid w:val="45865E2C"/>
    <w:rsid w:val="45911A43"/>
    <w:rsid w:val="45A16423"/>
    <w:rsid w:val="45A24E61"/>
    <w:rsid w:val="45B457B5"/>
    <w:rsid w:val="45DE2657"/>
    <w:rsid w:val="45F10750"/>
    <w:rsid w:val="45F10EC5"/>
    <w:rsid w:val="45F91D99"/>
    <w:rsid w:val="46084CE9"/>
    <w:rsid w:val="460F4303"/>
    <w:rsid w:val="4616768B"/>
    <w:rsid w:val="462E7E70"/>
    <w:rsid w:val="463144E8"/>
    <w:rsid w:val="463446BC"/>
    <w:rsid w:val="46352BE8"/>
    <w:rsid w:val="46414DD4"/>
    <w:rsid w:val="46523D01"/>
    <w:rsid w:val="466317E7"/>
    <w:rsid w:val="466E3CCD"/>
    <w:rsid w:val="4676381B"/>
    <w:rsid w:val="46770DC9"/>
    <w:rsid w:val="467744FD"/>
    <w:rsid w:val="46952BDB"/>
    <w:rsid w:val="46A746F1"/>
    <w:rsid w:val="46A9603F"/>
    <w:rsid w:val="46AF30F0"/>
    <w:rsid w:val="46B87DA9"/>
    <w:rsid w:val="46CD4878"/>
    <w:rsid w:val="46D046FE"/>
    <w:rsid w:val="46D06D98"/>
    <w:rsid w:val="46DA4E4A"/>
    <w:rsid w:val="46E12276"/>
    <w:rsid w:val="46E46B2F"/>
    <w:rsid w:val="46F03580"/>
    <w:rsid w:val="46F51A7F"/>
    <w:rsid w:val="46F847CE"/>
    <w:rsid w:val="47140188"/>
    <w:rsid w:val="4714637D"/>
    <w:rsid w:val="471901B2"/>
    <w:rsid w:val="47280D0D"/>
    <w:rsid w:val="47406C6A"/>
    <w:rsid w:val="476B7898"/>
    <w:rsid w:val="47700B34"/>
    <w:rsid w:val="477A6B40"/>
    <w:rsid w:val="477C1D4C"/>
    <w:rsid w:val="47B32E9C"/>
    <w:rsid w:val="47EE1DDF"/>
    <w:rsid w:val="47F3266D"/>
    <w:rsid w:val="480B19F6"/>
    <w:rsid w:val="48212AE9"/>
    <w:rsid w:val="485E0907"/>
    <w:rsid w:val="486C4CE7"/>
    <w:rsid w:val="487B0789"/>
    <w:rsid w:val="48894E4D"/>
    <w:rsid w:val="489713C3"/>
    <w:rsid w:val="48A262B1"/>
    <w:rsid w:val="48A61EC2"/>
    <w:rsid w:val="48BA3284"/>
    <w:rsid w:val="48BC6665"/>
    <w:rsid w:val="48CB1CC0"/>
    <w:rsid w:val="48CD6110"/>
    <w:rsid w:val="48D4307F"/>
    <w:rsid w:val="49013C23"/>
    <w:rsid w:val="49046A59"/>
    <w:rsid w:val="490A52ED"/>
    <w:rsid w:val="49120F3F"/>
    <w:rsid w:val="49163580"/>
    <w:rsid w:val="491E6E1E"/>
    <w:rsid w:val="491F7F64"/>
    <w:rsid w:val="492A1BD4"/>
    <w:rsid w:val="49470956"/>
    <w:rsid w:val="494D3EF0"/>
    <w:rsid w:val="494F7DA4"/>
    <w:rsid w:val="49582843"/>
    <w:rsid w:val="495D296B"/>
    <w:rsid w:val="49733467"/>
    <w:rsid w:val="49804B05"/>
    <w:rsid w:val="49955841"/>
    <w:rsid w:val="49A418F2"/>
    <w:rsid w:val="49C8100A"/>
    <w:rsid w:val="49F215F7"/>
    <w:rsid w:val="49F46361"/>
    <w:rsid w:val="49F7402B"/>
    <w:rsid w:val="49FF2037"/>
    <w:rsid w:val="4A030B7A"/>
    <w:rsid w:val="4A0A7F62"/>
    <w:rsid w:val="4A1D00AC"/>
    <w:rsid w:val="4A236EB1"/>
    <w:rsid w:val="4A267E35"/>
    <w:rsid w:val="4A270A04"/>
    <w:rsid w:val="4A382D24"/>
    <w:rsid w:val="4A414188"/>
    <w:rsid w:val="4A47591B"/>
    <w:rsid w:val="4A4C4C82"/>
    <w:rsid w:val="4A4E3578"/>
    <w:rsid w:val="4A6A1823"/>
    <w:rsid w:val="4A6F608D"/>
    <w:rsid w:val="4A885CE1"/>
    <w:rsid w:val="4A9452E5"/>
    <w:rsid w:val="4A984C0D"/>
    <w:rsid w:val="4A9F2D3A"/>
    <w:rsid w:val="4AA00600"/>
    <w:rsid w:val="4ABE4F66"/>
    <w:rsid w:val="4ABF0894"/>
    <w:rsid w:val="4ADB4E28"/>
    <w:rsid w:val="4AEF6A2D"/>
    <w:rsid w:val="4AF16114"/>
    <w:rsid w:val="4AF75899"/>
    <w:rsid w:val="4AF76666"/>
    <w:rsid w:val="4B170E1E"/>
    <w:rsid w:val="4B1A46C6"/>
    <w:rsid w:val="4B1A687B"/>
    <w:rsid w:val="4B2517BD"/>
    <w:rsid w:val="4B2C12BC"/>
    <w:rsid w:val="4B333D7A"/>
    <w:rsid w:val="4B3422A0"/>
    <w:rsid w:val="4B4D3A8C"/>
    <w:rsid w:val="4B5523AC"/>
    <w:rsid w:val="4B5D5A49"/>
    <w:rsid w:val="4B766FBE"/>
    <w:rsid w:val="4B7F49FA"/>
    <w:rsid w:val="4B85737C"/>
    <w:rsid w:val="4B8D0681"/>
    <w:rsid w:val="4BB31E0A"/>
    <w:rsid w:val="4BC74E08"/>
    <w:rsid w:val="4BD07997"/>
    <w:rsid w:val="4BD101CA"/>
    <w:rsid w:val="4BDF3E16"/>
    <w:rsid w:val="4BE971AF"/>
    <w:rsid w:val="4BFB1C38"/>
    <w:rsid w:val="4BFE1C3A"/>
    <w:rsid w:val="4C1003D8"/>
    <w:rsid w:val="4C251AA6"/>
    <w:rsid w:val="4C315F18"/>
    <w:rsid w:val="4C352DA8"/>
    <w:rsid w:val="4C366477"/>
    <w:rsid w:val="4C4113CF"/>
    <w:rsid w:val="4C6B6EBB"/>
    <w:rsid w:val="4C6F66E5"/>
    <w:rsid w:val="4C786851"/>
    <w:rsid w:val="4C7E2F03"/>
    <w:rsid w:val="4C812213"/>
    <w:rsid w:val="4C8A729F"/>
    <w:rsid w:val="4C8E73B9"/>
    <w:rsid w:val="4C942881"/>
    <w:rsid w:val="4C98016E"/>
    <w:rsid w:val="4CAF266F"/>
    <w:rsid w:val="4CC13ECD"/>
    <w:rsid w:val="4CCE3DBA"/>
    <w:rsid w:val="4CD020F9"/>
    <w:rsid w:val="4CD1365E"/>
    <w:rsid w:val="4CE50D46"/>
    <w:rsid w:val="4CEB05BD"/>
    <w:rsid w:val="4CFC6D55"/>
    <w:rsid w:val="4D0550A8"/>
    <w:rsid w:val="4D09197C"/>
    <w:rsid w:val="4D0B17EF"/>
    <w:rsid w:val="4D0E4802"/>
    <w:rsid w:val="4D2F7723"/>
    <w:rsid w:val="4D3267B3"/>
    <w:rsid w:val="4D406BD1"/>
    <w:rsid w:val="4D4B585B"/>
    <w:rsid w:val="4D5047B5"/>
    <w:rsid w:val="4D605A45"/>
    <w:rsid w:val="4D73501E"/>
    <w:rsid w:val="4D76573F"/>
    <w:rsid w:val="4D811DB6"/>
    <w:rsid w:val="4D831E51"/>
    <w:rsid w:val="4D9B4759"/>
    <w:rsid w:val="4DA44E4F"/>
    <w:rsid w:val="4DB3573A"/>
    <w:rsid w:val="4DBC31EA"/>
    <w:rsid w:val="4DCE74AD"/>
    <w:rsid w:val="4DD8077E"/>
    <w:rsid w:val="4DF521AC"/>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93495"/>
    <w:rsid w:val="4EA30D9D"/>
    <w:rsid w:val="4EA31AE4"/>
    <w:rsid w:val="4EA76E89"/>
    <w:rsid w:val="4EAF2828"/>
    <w:rsid w:val="4EB175DB"/>
    <w:rsid w:val="4EB2058C"/>
    <w:rsid w:val="4EB60C48"/>
    <w:rsid w:val="4EBE17BD"/>
    <w:rsid w:val="4EDE147E"/>
    <w:rsid w:val="4EEA3967"/>
    <w:rsid w:val="4EEF1B44"/>
    <w:rsid w:val="4F094887"/>
    <w:rsid w:val="4F0A27C3"/>
    <w:rsid w:val="4F0F005F"/>
    <w:rsid w:val="4F165D52"/>
    <w:rsid w:val="4F1D369F"/>
    <w:rsid w:val="4F1E3C2F"/>
    <w:rsid w:val="4F213A90"/>
    <w:rsid w:val="4F290247"/>
    <w:rsid w:val="4F323CD2"/>
    <w:rsid w:val="4F332C0A"/>
    <w:rsid w:val="4F3B2459"/>
    <w:rsid w:val="4F3B460A"/>
    <w:rsid w:val="4F3E6A4A"/>
    <w:rsid w:val="4F433DC8"/>
    <w:rsid w:val="4F4628B7"/>
    <w:rsid w:val="4F4B51A5"/>
    <w:rsid w:val="4F4E6EC7"/>
    <w:rsid w:val="4F524C77"/>
    <w:rsid w:val="4F545D86"/>
    <w:rsid w:val="4F5D5E43"/>
    <w:rsid w:val="4F6D419F"/>
    <w:rsid w:val="4F843B05"/>
    <w:rsid w:val="4F940769"/>
    <w:rsid w:val="4FA14EEC"/>
    <w:rsid w:val="4FA84227"/>
    <w:rsid w:val="4FAD2047"/>
    <w:rsid w:val="4FC231DA"/>
    <w:rsid w:val="4FD9320F"/>
    <w:rsid w:val="4FDD1D8F"/>
    <w:rsid w:val="4FE223EE"/>
    <w:rsid w:val="4FE3097A"/>
    <w:rsid w:val="4FFD3A77"/>
    <w:rsid w:val="50091D29"/>
    <w:rsid w:val="501F59A7"/>
    <w:rsid w:val="503642D7"/>
    <w:rsid w:val="503D3F59"/>
    <w:rsid w:val="50650862"/>
    <w:rsid w:val="50681179"/>
    <w:rsid w:val="5095674A"/>
    <w:rsid w:val="50A01EE7"/>
    <w:rsid w:val="50A6221C"/>
    <w:rsid w:val="50AC4C20"/>
    <w:rsid w:val="50AE00AE"/>
    <w:rsid w:val="50B13272"/>
    <w:rsid w:val="50B61B8B"/>
    <w:rsid w:val="50B7359F"/>
    <w:rsid w:val="50C13C5F"/>
    <w:rsid w:val="50C16C1C"/>
    <w:rsid w:val="50C577D9"/>
    <w:rsid w:val="50E00158"/>
    <w:rsid w:val="50E8434B"/>
    <w:rsid w:val="50F0291C"/>
    <w:rsid w:val="50F5073D"/>
    <w:rsid w:val="50F83FA2"/>
    <w:rsid w:val="5100536A"/>
    <w:rsid w:val="51166C53"/>
    <w:rsid w:val="51183F80"/>
    <w:rsid w:val="51286AE9"/>
    <w:rsid w:val="51334745"/>
    <w:rsid w:val="51355ACC"/>
    <w:rsid w:val="516C5BB7"/>
    <w:rsid w:val="517C1235"/>
    <w:rsid w:val="51881606"/>
    <w:rsid w:val="518B6393"/>
    <w:rsid w:val="518E2820"/>
    <w:rsid w:val="519C6C10"/>
    <w:rsid w:val="51AC5137"/>
    <w:rsid w:val="51B463DB"/>
    <w:rsid w:val="51B93C78"/>
    <w:rsid w:val="51BA3724"/>
    <w:rsid w:val="51C31254"/>
    <w:rsid w:val="51C979DD"/>
    <w:rsid w:val="51CA5F3D"/>
    <w:rsid w:val="51D65A91"/>
    <w:rsid w:val="51E20465"/>
    <w:rsid w:val="520A22AE"/>
    <w:rsid w:val="52132555"/>
    <w:rsid w:val="52247A0F"/>
    <w:rsid w:val="52307478"/>
    <w:rsid w:val="52385792"/>
    <w:rsid w:val="523D42DD"/>
    <w:rsid w:val="523F6AFF"/>
    <w:rsid w:val="52480D46"/>
    <w:rsid w:val="524F31BF"/>
    <w:rsid w:val="52514A0D"/>
    <w:rsid w:val="526C5746"/>
    <w:rsid w:val="5273265C"/>
    <w:rsid w:val="5285330B"/>
    <w:rsid w:val="52853336"/>
    <w:rsid w:val="52881D50"/>
    <w:rsid w:val="528D7640"/>
    <w:rsid w:val="52991222"/>
    <w:rsid w:val="529B3EC4"/>
    <w:rsid w:val="529C7876"/>
    <w:rsid w:val="52A22582"/>
    <w:rsid w:val="52C1084B"/>
    <w:rsid w:val="52CA2C42"/>
    <w:rsid w:val="52DB19FD"/>
    <w:rsid w:val="52E53EC9"/>
    <w:rsid w:val="52EE339D"/>
    <w:rsid w:val="52F61E27"/>
    <w:rsid w:val="52F64812"/>
    <w:rsid w:val="5306292A"/>
    <w:rsid w:val="530822C8"/>
    <w:rsid w:val="5317233C"/>
    <w:rsid w:val="531A341A"/>
    <w:rsid w:val="532B3A0E"/>
    <w:rsid w:val="533E1E81"/>
    <w:rsid w:val="535F3AF3"/>
    <w:rsid w:val="536F1AF1"/>
    <w:rsid w:val="536F3F83"/>
    <w:rsid w:val="53703E8D"/>
    <w:rsid w:val="53707DDE"/>
    <w:rsid w:val="537334C7"/>
    <w:rsid w:val="537810B7"/>
    <w:rsid w:val="537E0058"/>
    <w:rsid w:val="53950AA6"/>
    <w:rsid w:val="53A8102E"/>
    <w:rsid w:val="53C502CE"/>
    <w:rsid w:val="53D02F55"/>
    <w:rsid w:val="53E12D9E"/>
    <w:rsid w:val="53E23B4F"/>
    <w:rsid w:val="53E64B1C"/>
    <w:rsid w:val="53E8652B"/>
    <w:rsid w:val="53EB486A"/>
    <w:rsid w:val="53EE67E9"/>
    <w:rsid w:val="53FD1C03"/>
    <w:rsid w:val="54020BC2"/>
    <w:rsid w:val="540310FA"/>
    <w:rsid w:val="54037045"/>
    <w:rsid w:val="540817F6"/>
    <w:rsid w:val="54270E2A"/>
    <w:rsid w:val="54270F5B"/>
    <w:rsid w:val="54382594"/>
    <w:rsid w:val="543E515D"/>
    <w:rsid w:val="543F413B"/>
    <w:rsid w:val="543F6DB4"/>
    <w:rsid w:val="544561BC"/>
    <w:rsid w:val="544B0D54"/>
    <w:rsid w:val="545568EB"/>
    <w:rsid w:val="54591CDE"/>
    <w:rsid w:val="54625354"/>
    <w:rsid w:val="546D6CCA"/>
    <w:rsid w:val="54984A43"/>
    <w:rsid w:val="54B55CE3"/>
    <w:rsid w:val="54B9208D"/>
    <w:rsid w:val="54BA614C"/>
    <w:rsid w:val="54C557E7"/>
    <w:rsid w:val="54C65EC0"/>
    <w:rsid w:val="54D006DC"/>
    <w:rsid w:val="54D43100"/>
    <w:rsid w:val="54DD7AC9"/>
    <w:rsid w:val="55053315"/>
    <w:rsid w:val="55067A64"/>
    <w:rsid w:val="551C1C56"/>
    <w:rsid w:val="552760F6"/>
    <w:rsid w:val="552A09F4"/>
    <w:rsid w:val="552C4622"/>
    <w:rsid w:val="5532296D"/>
    <w:rsid w:val="553D5564"/>
    <w:rsid w:val="554D154C"/>
    <w:rsid w:val="555154EE"/>
    <w:rsid w:val="5560481F"/>
    <w:rsid w:val="557414CA"/>
    <w:rsid w:val="558F4A1E"/>
    <w:rsid w:val="55917E28"/>
    <w:rsid w:val="55942252"/>
    <w:rsid w:val="55987FBD"/>
    <w:rsid w:val="55AC7BE9"/>
    <w:rsid w:val="55B41C64"/>
    <w:rsid w:val="55CB0EA2"/>
    <w:rsid w:val="55EC2897"/>
    <w:rsid w:val="55F157AA"/>
    <w:rsid w:val="55FA0B35"/>
    <w:rsid w:val="55FA242D"/>
    <w:rsid w:val="56254C95"/>
    <w:rsid w:val="56290B5D"/>
    <w:rsid w:val="5630640C"/>
    <w:rsid w:val="56363D57"/>
    <w:rsid w:val="563A5F22"/>
    <w:rsid w:val="56490020"/>
    <w:rsid w:val="5652511E"/>
    <w:rsid w:val="56543A0D"/>
    <w:rsid w:val="565C0156"/>
    <w:rsid w:val="566832A7"/>
    <w:rsid w:val="566B50BC"/>
    <w:rsid w:val="566E08BF"/>
    <w:rsid w:val="569E1AC8"/>
    <w:rsid w:val="56A4132F"/>
    <w:rsid w:val="56AC279F"/>
    <w:rsid w:val="56AF2E6F"/>
    <w:rsid w:val="56D94DD2"/>
    <w:rsid w:val="56DF0963"/>
    <w:rsid w:val="56E2575C"/>
    <w:rsid w:val="56E31118"/>
    <w:rsid w:val="56E46A8E"/>
    <w:rsid w:val="56F37D3E"/>
    <w:rsid w:val="56F473C0"/>
    <w:rsid w:val="56FD3D8C"/>
    <w:rsid w:val="57065F83"/>
    <w:rsid w:val="57097BE4"/>
    <w:rsid w:val="570B6550"/>
    <w:rsid w:val="57196157"/>
    <w:rsid w:val="573D632F"/>
    <w:rsid w:val="5741590E"/>
    <w:rsid w:val="57484C26"/>
    <w:rsid w:val="5758628A"/>
    <w:rsid w:val="575C550F"/>
    <w:rsid w:val="57685DFD"/>
    <w:rsid w:val="57745BB6"/>
    <w:rsid w:val="577C7607"/>
    <w:rsid w:val="57855787"/>
    <w:rsid w:val="578A1BF3"/>
    <w:rsid w:val="5791383A"/>
    <w:rsid w:val="57AC28B7"/>
    <w:rsid w:val="57B02739"/>
    <w:rsid w:val="57BD6C04"/>
    <w:rsid w:val="57C51573"/>
    <w:rsid w:val="57D6036B"/>
    <w:rsid w:val="57D6484A"/>
    <w:rsid w:val="57DE28CC"/>
    <w:rsid w:val="57E5708B"/>
    <w:rsid w:val="57FF606E"/>
    <w:rsid w:val="580716CC"/>
    <w:rsid w:val="580D321B"/>
    <w:rsid w:val="58220A26"/>
    <w:rsid w:val="58381DBD"/>
    <w:rsid w:val="58394C38"/>
    <w:rsid w:val="58423CCA"/>
    <w:rsid w:val="58446DBA"/>
    <w:rsid w:val="58481CE4"/>
    <w:rsid w:val="584B7C06"/>
    <w:rsid w:val="58510290"/>
    <w:rsid w:val="58535DB5"/>
    <w:rsid w:val="58553705"/>
    <w:rsid w:val="5855370B"/>
    <w:rsid w:val="58590F71"/>
    <w:rsid w:val="587651AC"/>
    <w:rsid w:val="587939C8"/>
    <w:rsid w:val="588833FD"/>
    <w:rsid w:val="58931910"/>
    <w:rsid w:val="58932063"/>
    <w:rsid w:val="58B31DD9"/>
    <w:rsid w:val="58B91125"/>
    <w:rsid w:val="58C07443"/>
    <w:rsid w:val="58C64CF3"/>
    <w:rsid w:val="58CB283B"/>
    <w:rsid w:val="58CB3B78"/>
    <w:rsid w:val="58D16799"/>
    <w:rsid w:val="58D21B64"/>
    <w:rsid w:val="58E36F3B"/>
    <w:rsid w:val="59096497"/>
    <w:rsid w:val="590D2328"/>
    <w:rsid w:val="590F51DD"/>
    <w:rsid w:val="59232C0B"/>
    <w:rsid w:val="59251BA8"/>
    <w:rsid w:val="593A62F9"/>
    <w:rsid w:val="593E34F6"/>
    <w:rsid w:val="593E4EE7"/>
    <w:rsid w:val="594D06B7"/>
    <w:rsid w:val="595258C3"/>
    <w:rsid w:val="59754648"/>
    <w:rsid w:val="598D03EC"/>
    <w:rsid w:val="598D7696"/>
    <w:rsid w:val="599C0038"/>
    <w:rsid w:val="59A874AD"/>
    <w:rsid w:val="59AD1771"/>
    <w:rsid w:val="59C43D4D"/>
    <w:rsid w:val="59C83A39"/>
    <w:rsid w:val="59CD0FC2"/>
    <w:rsid w:val="59D746D7"/>
    <w:rsid w:val="59F22456"/>
    <w:rsid w:val="59F40C9E"/>
    <w:rsid w:val="59FB18DA"/>
    <w:rsid w:val="5A0D6D49"/>
    <w:rsid w:val="5A220958"/>
    <w:rsid w:val="5A245D72"/>
    <w:rsid w:val="5A261DCD"/>
    <w:rsid w:val="5A315F05"/>
    <w:rsid w:val="5A344989"/>
    <w:rsid w:val="5A361544"/>
    <w:rsid w:val="5A3F108A"/>
    <w:rsid w:val="5A425322"/>
    <w:rsid w:val="5A596770"/>
    <w:rsid w:val="5A5B363C"/>
    <w:rsid w:val="5A66425D"/>
    <w:rsid w:val="5A6D76C0"/>
    <w:rsid w:val="5A723A0D"/>
    <w:rsid w:val="5A762255"/>
    <w:rsid w:val="5A833B0D"/>
    <w:rsid w:val="5A9A7C44"/>
    <w:rsid w:val="5A9D621A"/>
    <w:rsid w:val="5AAF7ED4"/>
    <w:rsid w:val="5AB17106"/>
    <w:rsid w:val="5AC219D6"/>
    <w:rsid w:val="5AC91049"/>
    <w:rsid w:val="5ACF40CD"/>
    <w:rsid w:val="5AD25E29"/>
    <w:rsid w:val="5ADB273E"/>
    <w:rsid w:val="5AE14981"/>
    <w:rsid w:val="5AFD3B96"/>
    <w:rsid w:val="5B097B76"/>
    <w:rsid w:val="5B0C640C"/>
    <w:rsid w:val="5B2D305D"/>
    <w:rsid w:val="5B344015"/>
    <w:rsid w:val="5B350A21"/>
    <w:rsid w:val="5B3F3F40"/>
    <w:rsid w:val="5B443E9C"/>
    <w:rsid w:val="5B620B4F"/>
    <w:rsid w:val="5B637846"/>
    <w:rsid w:val="5B637AE8"/>
    <w:rsid w:val="5B707739"/>
    <w:rsid w:val="5B74479A"/>
    <w:rsid w:val="5B7C7628"/>
    <w:rsid w:val="5B7E0ACC"/>
    <w:rsid w:val="5B8526BA"/>
    <w:rsid w:val="5B956906"/>
    <w:rsid w:val="5BA0525E"/>
    <w:rsid w:val="5BB55204"/>
    <w:rsid w:val="5BB62C85"/>
    <w:rsid w:val="5BCD5911"/>
    <w:rsid w:val="5BCE4EA4"/>
    <w:rsid w:val="5BD209C4"/>
    <w:rsid w:val="5BD637EC"/>
    <w:rsid w:val="5BDE0F42"/>
    <w:rsid w:val="5BDE5A43"/>
    <w:rsid w:val="5BE0323A"/>
    <w:rsid w:val="5BE52C87"/>
    <w:rsid w:val="5BFB1413"/>
    <w:rsid w:val="5C1B7F5F"/>
    <w:rsid w:val="5C2B06AD"/>
    <w:rsid w:val="5C34166A"/>
    <w:rsid w:val="5C4A36B7"/>
    <w:rsid w:val="5C4E44D4"/>
    <w:rsid w:val="5C5552A6"/>
    <w:rsid w:val="5C570EE3"/>
    <w:rsid w:val="5C796560"/>
    <w:rsid w:val="5C7B79F9"/>
    <w:rsid w:val="5C975F8A"/>
    <w:rsid w:val="5CD51EB4"/>
    <w:rsid w:val="5CD7479C"/>
    <w:rsid w:val="5CE536CF"/>
    <w:rsid w:val="5CE568F8"/>
    <w:rsid w:val="5CE80A78"/>
    <w:rsid w:val="5CF2493D"/>
    <w:rsid w:val="5CF33064"/>
    <w:rsid w:val="5D0576C4"/>
    <w:rsid w:val="5D21139B"/>
    <w:rsid w:val="5D230368"/>
    <w:rsid w:val="5D255730"/>
    <w:rsid w:val="5D3A0883"/>
    <w:rsid w:val="5D4E1BA7"/>
    <w:rsid w:val="5D5667E0"/>
    <w:rsid w:val="5D580881"/>
    <w:rsid w:val="5D6261CB"/>
    <w:rsid w:val="5D712F5B"/>
    <w:rsid w:val="5D8D0925"/>
    <w:rsid w:val="5DA13534"/>
    <w:rsid w:val="5DA80011"/>
    <w:rsid w:val="5DCB56EC"/>
    <w:rsid w:val="5DCC2370"/>
    <w:rsid w:val="5DCF0D76"/>
    <w:rsid w:val="5DD4601C"/>
    <w:rsid w:val="5DD71A06"/>
    <w:rsid w:val="5DE448D2"/>
    <w:rsid w:val="5DF441FF"/>
    <w:rsid w:val="5DF849E9"/>
    <w:rsid w:val="5E031CCD"/>
    <w:rsid w:val="5E1463C6"/>
    <w:rsid w:val="5E2511CA"/>
    <w:rsid w:val="5E285722"/>
    <w:rsid w:val="5E3B4D31"/>
    <w:rsid w:val="5E3E65D1"/>
    <w:rsid w:val="5E4B7A1D"/>
    <w:rsid w:val="5E50050F"/>
    <w:rsid w:val="5E5D04EF"/>
    <w:rsid w:val="5E677FF0"/>
    <w:rsid w:val="5E68591D"/>
    <w:rsid w:val="5E6E3128"/>
    <w:rsid w:val="5E731D18"/>
    <w:rsid w:val="5E742249"/>
    <w:rsid w:val="5E8D74B9"/>
    <w:rsid w:val="5E9268B6"/>
    <w:rsid w:val="5E9E597C"/>
    <w:rsid w:val="5EA25DA7"/>
    <w:rsid w:val="5EA97C8F"/>
    <w:rsid w:val="5EAC7CB5"/>
    <w:rsid w:val="5EDA252D"/>
    <w:rsid w:val="5EDF04E2"/>
    <w:rsid w:val="5EE4090C"/>
    <w:rsid w:val="5EE437F5"/>
    <w:rsid w:val="5EF0645B"/>
    <w:rsid w:val="5F05700F"/>
    <w:rsid w:val="5F0936DE"/>
    <w:rsid w:val="5F171517"/>
    <w:rsid w:val="5F1A4848"/>
    <w:rsid w:val="5F2E2A8A"/>
    <w:rsid w:val="5F3C79F2"/>
    <w:rsid w:val="5F414056"/>
    <w:rsid w:val="5F454229"/>
    <w:rsid w:val="5F5168E0"/>
    <w:rsid w:val="5F62295E"/>
    <w:rsid w:val="5F790CE9"/>
    <w:rsid w:val="5F7D16C2"/>
    <w:rsid w:val="5F892553"/>
    <w:rsid w:val="5F9D7E5B"/>
    <w:rsid w:val="5FA04A6A"/>
    <w:rsid w:val="5FAB77AE"/>
    <w:rsid w:val="5FB301BB"/>
    <w:rsid w:val="5FBF00D5"/>
    <w:rsid w:val="5FF32A3B"/>
    <w:rsid w:val="5FF65989"/>
    <w:rsid w:val="600A6271"/>
    <w:rsid w:val="601410A2"/>
    <w:rsid w:val="602E29D0"/>
    <w:rsid w:val="60357E4D"/>
    <w:rsid w:val="603E0401"/>
    <w:rsid w:val="603E7BF6"/>
    <w:rsid w:val="6046706E"/>
    <w:rsid w:val="60492B3E"/>
    <w:rsid w:val="60565E64"/>
    <w:rsid w:val="60647840"/>
    <w:rsid w:val="6089047C"/>
    <w:rsid w:val="608C0E83"/>
    <w:rsid w:val="608D4CE3"/>
    <w:rsid w:val="60A859A2"/>
    <w:rsid w:val="60AB29AA"/>
    <w:rsid w:val="60AC024B"/>
    <w:rsid w:val="60AC67BD"/>
    <w:rsid w:val="60B146B2"/>
    <w:rsid w:val="60C06489"/>
    <w:rsid w:val="60CE2A0E"/>
    <w:rsid w:val="60DC7456"/>
    <w:rsid w:val="61032E37"/>
    <w:rsid w:val="610E4A4B"/>
    <w:rsid w:val="611B2150"/>
    <w:rsid w:val="61204933"/>
    <w:rsid w:val="612354B4"/>
    <w:rsid w:val="6131159B"/>
    <w:rsid w:val="61351A56"/>
    <w:rsid w:val="613F62A8"/>
    <w:rsid w:val="61415F87"/>
    <w:rsid w:val="614822A7"/>
    <w:rsid w:val="614963EE"/>
    <w:rsid w:val="614A2FC6"/>
    <w:rsid w:val="614E6C03"/>
    <w:rsid w:val="615A223E"/>
    <w:rsid w:val="615B47A6"/>
    <w:rsid w:val="616435A6"/>
    <w:rsid w:val="618D5576"/>
    <w:rsid w:val="619940E6"/>
    <w:rsid w:val="619E19B9"/>
    <w:rsid w:val="61A6014E"/>
    <w:rsid w:val="61A7486D"/>
    <w:rsid w:val="61AF035B"/>
    <w:rsid w:val="61B17BD0"/>
    <w:rsid w:val="61D63921"/>
    <w:rsid w:val="61DB724C"/>
    <w:rsid w:val="61DC33FE"/>
    <w:rsid w:val="61E643A1"/>
    <w:rsid w:val="61E66CAD"/>
    <w:rsid w:val="61F439C5"/>
    <w:rsid w:val="61F443E9"/>
    <w:rsid w:val="62213533"/>
    <w:rsid w:val="62244E9F"/>
    <w:rsid w:val="62270D05"/>
    <w:rsid w:val="622C111C"/>
    <w:rsid w:val="623025A4"/>
    <w:rsid w:val="62305F95"/>
    <w:rsid w:val="62397832"/>
    <w:rsid w:val="62461BF2"/>
    <w:rsid w:val="62607426"/>
    <w:rsid w:val="626347A6"/>
    <w:rsid w:val="6278379F"/>
    <w:rsid w:val="62857AB0"/>
    <w:rsid w:val="62867444"/>
    <w:rsid w:val="628A41A8"/>
    <w:rsid w:val="629D7EE8"/>
    <w:rsid w:val="62A84A93"/>
    <w:rsid w:val="62BC1814"/>
    <w:rsid w:val="62BD1648"/>
    <w:rsid w:val="62C73A65"/>
    <w:rsid w:val="62CB3A67"/>
    <w:rsid w:val="62D50998"/>
    <w:rsid w:val="62E7507D"/>
    <w:rsid w:val="62F00C3E"/>
    <w:rsid w:val="62F61E46"/>
    <w:rsid w:val="62F67597"/>
    <w:rsid w:val="630C34D0"/>
    <w:rsid w:val="631E48B7"/>
    <w:rsid w:val="6322080B"/>
    <w:rsid w:val="63221947"/>
    <w:rsid w:val="63255FA6"/>
    <w:rsid w:val="63453350"/>
    <w:rsid w:val="635F6BBD"/>
    <w:rsid w:val="63782078"/>
    <w:rsid w:val="638F7AFC"/>
    <w:rsid w:val="639215D8"/>
    <w:rsid w:val="639B4C77"/>
    <w:rsid w:val="63A36BE5"/>
    <w:rsid w:val="63AC4359"/>
    <w:rsid w:val="63C04B8A"/>
    <w:rsid w:val="63CD32CA"/>
    <w:rsid w:val="63D42229"/>
    <w:rsid w:val="63D8474D"/>
    <w:rsid w:val="63DB746A"/>
    <w:rsid w:val="63DF4869"/>
    <w:rsid w:val="63E5033D"/>
    <w:rsid w:val="63EE162B"/>
    <w:rsid w:val="63F75B8A"/>
    <w:rsid w:val="64003199"/>
    <w:rsid w:val="640310C7"/>
    <w:rsid w:val="64155C8D"/>
    <w:rsid w:val="641B0760"/>
    <w:rsid w:val="641E1DE4"/>
    <w:rsid w:val="64203CB4"/>
    <w:rsid w:val="64222857"/>
    <w:rsid w:val="64335EB1"/>
    <w:rsid w:val="64383A64"/>
    <w:rsid w:val="64433CD0"/>
    <w:rsid w:val="64455B95"/>
    <w:rsid w:val="64495F72"/>
    <w:rsid w:val="644B25BC"/>
    <w:rsid w:val="64546A26"/>
    <w:rsid w:val="645A76FE"/>
    <w:rsid w:val="645F063B"/>
    <w:rsid w:val="647F6D16"/>
    <w:rsid w:val="6498217B"/>
    <w:rsid w:val="64987FF4"/>
    <w:rsid w:val="64A94344"/>
    <w:rsid w:val="64D0513C"/>
    <w:rsid w:val="64DD517A"/>
    <w:rsid w:val="64EB1866"/>
    <w:rsid w:val="64EB2E2F"/>
    <w:rsid w:val="64F702F2"/>
    <w:rsid w:val="65046BCA"/>
    <w:rsid w:val="651424EE"/>
    <w:rsid w:val="651E67EB"/>
    <w:rsid w:val="65257BC1"/>
    <w:rsid w:val="65287A29"/>
    <w:rsid w:val="65490238"/>
    <w:rsid w:val="65537EF9"/>
    <w:rsid w:val="65593C2E"/>
    <w:rsid w:val="655E1155"/>
    <w:rsid w:val="655F4773"/>
    <w:rsid w:val="65636455"/>
    <w:rsid w:val="6572507F"/>
    <w:rsid w:val="658554FB"/>
    <w:rsid w:val="658E43F4"/>
    <w:rsid w:val="6590252A"/>
    <w:rsid w:val="65904230"/>
    <w:rsid w:val="65A240BE"/>
    <w:rsid w:val="65A273A9"/>
    <w:rsid w:val="65A31666"/>
    <w:rsid w:val="65AE5114"/>
    <w:rsid w:val="65B61DD9"/>
    <w:rsid w:val="65BB5075"/>
    <w:rsid w:val="65C42F33"/>
    <w:rsid w:val="65C76D0B"/>
    <w:rsid w:val="65CB5A52"/>
    <w:rsid w:val="65D23BC4"/>
    <w:rsid w:val="65D969F1"/>
    <w:rsid w:val="65DF7832"/>
    <w:rsid w:val="66030655"/>
    <w:rsid w:val="66215514"/>
    <w:rsid w:val="66222BC0"/>
    <w:rsid w:val="662861DC"/>
    <w:rsid w:val="66286B79"/>
    <w:rsid w:val="66306F43"/>
    <w:rsid w:val="66326E97"/>
    <w:rsid w:val="66363F02"/>
    <w:rsid w:val="663F4723"/>
    <w:rsid w:val="664615E7"/>
    <w:rsid w:val="665242EE"/>
    <w:rsid w:val="665265F4"/>
    <w:rsid w:val="6666302E"/>
    <w:rsid w:val="666F0E5A"/>
    <w:rsid w:val="667322A4"/>
    <w:rsid w:val="66865A41"/>
    <w:rsid w:val="668F06DD"/>
    <w:rsid w:val="66943E18"/>
    <w:rsid w:val="6699652A"/>
    <w:rsid w:val="66A93110"/>
    <w:rsid w:val="66AC664F"/>
    <w:rsid w:val="66AF2B2C"/>
    <w:rsid w:val="66BA606C"/>
    <w:rsid w:val="66D14104"/>
    <w:rsid w:val="66DC3EF7"/>
    <w:rsid w:val="66DE561C"/>
    <w:rsid w:val="66F0190D"/>
    <w:rsid w:val="67064E16"/>
    <w:rsid w:val="672833FF"/>
    <w:rsid w:val="673100D9"/>
    <w:rsid w:val="6731395C"/>
    <w:rsid w:val="67421678"/>
    <w:rsid w:val="67447CAA"/>
    <w:rsid w:val="67603184"/>
    <w:rsid w:val="67615909"/>
    <w:rsid w:val="676569B0"/>
    <w:rsid w:val="676818B7"/>
    <w:rsid w:val="676B6D11"/>
    <w:rsid w:val="676E53AF"/>
    <w:rsid w:val="6772565E"/>
    <w:rsid w:val="677D4E65"/>
    <w:rsid w:val="678A1A6C"/>
    <w:rsid w:val="679C72E6"/>
    <w:rsid w:val="679D7D9D"/>
    <w:rsid w:val="67A16316"/>
    <w:rsid w:val="67B52945"/>
    <w:rsid w:val="67B84A87"/>
    <w:rsid w:val="67C03310"/>
    <w:rsid w:val="67C25449"/>
    <w:rsid w:val="67D5396B"/>
    <w:rsid w:val="67DD018E"/>
    <w:rsid w:val="67DE5B6F"/>
    <w:rsid w:val="67E24A58"/>
    <w:rsid w:val="67E84BC2"/>
    <w:rsid w:val="67E967D4"/>
    <w:rsid w:val="67EA1DE2"/>
    <w:rsid w:val="67F51F5D"/>
    <w:rsid w:val="680E0310"/>
    <w:rsid w:val="681C0F9C"/>
    <w:rsid w:val="68280A59"/>
    <w:rsid w:val="68397A86"/>
    <w:rsid w:val="685448E5"/>
    <w:rsid w:val="68567ADB"/>
    <w:rsid w:val="685A52F7"/>
    <w:rsid w:val="686301D2"/>
    <w:rsid w:val="686F32ED"/>
    <w:rsid w:val="68763CFB"/>
    <w:rsid w:val="68775B46"/>
    <w:rsid w:val="688C2914"/>
    <w:rsid w:val="68AB1911"/>
    <w:rsid w:val="68AC7864"/>
    <w:rsid w:val="68BD141F"/>
    <w:rsid w:val="68C2312F"/>
    <w:rsid w:val="68CC74D0"/>
    <w:rsid w:val="68D40619"/>
    <w:rsid w:val="68D53366"/>
    <w:rsid w:val="68DD058C"/>
    <w:rsid w:val="68E84B74"/>
    <w:rsid w:val="68EC1986"/>
    <w:rsid w:val="68F97892"/>
    <w:rsid w:val="690300E6"/>
    <w:rsid w:val="691318F3"/>
    <w:rsid w:val="691F004A"/>
    <w:rsid w:val="692563EE"/>
    <w:rsid w:val="692D6BB4"/>
    <w:rsid w:val="693D18C5"/>
    <w:rsid w:val="69456602"/>
    <w:rsid w:val="69471F8B"/>
    <w:rsid w:val="69656FD3"/>
    <w:rsid w:val="6965727E"/>
    <w:rsid w:val="69785369"/>
    <w:rsid w:val="69BF2D66"/>
    <w:rsid w:val="69C22990"/>
    <w:rsid w:val="69C62E9A"/>
    <w:rsid w:val="69D9569F"/>
    <w:rsid w:val="69F076EC"/>
    <w:rsid w:val="69FC71B3"/>
    <w:rsid w:val="6A046C7D"/>
    <w:rsid w:val="6A0C4C59"/>
    <w:rsid w:val="6A0C7811"/>
    <w:rsid w:val="6A0E0287"/>
    <w:rsid w:val="6A0E500E"/>
    <w:rsid w:val="6A0E77F1"/>
    <w:rsid w:val="6A19339F"/>
    <w:rsid w:val="6A3001E9"/>
    <w:rsid w:val="6A342EDC"/>
    <w:rsid w:val="6A55161C"/>
    <w:rsid w:val="6A65568E"/>
    <w:rsid w:val="6A6E67DD"/>
    <w:rsid w:val="6A8213EE"/>
    <w:rsid w:val="6A9553FE"/>
    <w:rsid w:val="6AAD773D"/>
    <w:rsid w:val="6AB8631A"/>
    <w:rsid w:val="6AC30E38"/>
    <w:rsid w:val="6ADB66AC"/>
    <w:rsid w:val="6ADD74FD"/>
    <w:rsid w:val="6B204A1A"/>
    <w:rsid w:val="6B254070"/>
    <w:rsid w:val="6B2B523C"/>
    <w:rsid w:val="6B3816B9"/>
    <w:rsid w:val="6B457FC6"/>
    <w:rsid w:val="6B570F9E"/>
    <w:rsid w:val="6B704D44"/>
    <w:rsid w:val="6B7A4A17"/>
    <w:rsid w:val="6B7F1BF6"/>
    <w:rsid w:val="6B8A7D7E"/>
    <w:rsid w:val="6B9512FD"/>
    <w:rsid w:val="6BA7070C"/>
    <w:rsid w:val="6BB554FE"/>
    <w:rsid w:val="6BB56A5C"/>
    <w:rsid w:val="6BB87BB7"/>
    <w:rsid w:val="6BC12EDC"/>
    <w:rsid w:val="6BE255D8"/>
    <w:rsid w:val="6BE76A97"/>
    <w:rsid w:val="6BF056A3"/>
    <w:rsid w:val="6BF43FAF"/>
    <w:rsid w:val="6BFB78C8"/>
    <w:rsid w:val="6C110991"/>
    <w:rsid w:val="6C1363EA"/>
    <w:rsid w:val="6C1F175D"/>
    <w:rsid w:val="6C386C1D"/>
    <w:rsid w:val="6C3E480C"/>
    <w:rsid w:val="6C4471AC"/>
    <w:rsid w:val="6C4A348A"/>
    <w:rsid w:val="6C4A4478"/>
    <w:rsid w:val="6C5002D5"/>
    <w:rsid w:val="6C523F43"/>
    <w:rsid w:val="6C64734B"/>
    <w:rsid w:val="6C777224"/>
    <w:rsid w:val="6C7C0FBC"/>
    <w:rsid w:val="6C83219C"/>
    <w:rsid w:val="6C833B41"/>
    <w:rsid w:val="6C97436A"/>
    <w:rsid w:val="6C9803A4"/>
    <w:rsid w:val="6CD323B8"/>
    <w:rsid w:val="6CD7528E"/>
    <w:rsid w:val="6CDD7CF5"/>
    <w:rsid w:val="6CE71ED8"/>
    <w:rsid w:val="6CF33107"/>
    <w:rsid w:val="6CF57B18"/>
    <w:rsid w:val="6CFC0F53"/>
    <w:rsid w:val="6CFC3ED1"/>
    <w:rsid w:val="6D164F86"/>
    <w:rsid w:val="6D243939"/>
    <w:rsid w:val="6D3125B4"/>
    <w:rsid w:val="6D351FB7"/>
    <w:rsid w:val="6D36200B"/>
    <w:rsid w:val="6D390ED7"/>
    <w:rsid w:val="6D447778"/>
    <w:rsid w:val="6D4A5F2F"/>
    <w:rsid w:val="6D620170"/>
    <w:rsid w:val="6D6D3796"/>
    <w:rsid w:val="6D777E6B"/>
    <w:rsid w:val="6D7A3305"/>
    <w:rsid w:val="6D84645E"/>
    <w:rsid w:val="6D8F437E"/>
    <w:rsid w:val="6D990245"/>
    <w:rsid w:val="6D997573"/>
    <w:rsid w:val="6DA026C8"/>
    <w:rsid w:val="6DA5760F"/>
    <w:rsid w:val="6DAD31F1"/>
    <w:rsid w:val="6DB46943"/>
    <w:rsid w:val="6DB56D43"/>
    <w:rsid w:val="6DB62F23"/>
    <w:rsid w:val="6DC62455"/>
    <w:rsid w:val="6DED42F9"/>
    <w:rsid w:val="6DEF2A6B"/>
    <w:rsid w:val="6DFB6D2D"/>
    <w:rsid w:val="6E017B4B"/>
    <w:rsid w:val="6E035FBA"/>
    <w:rsid w:val="6E123F60"/>
    <w:rsid w:val="6E162FAB"/>
    <w:rsid w:val="6E1E4715"/>
    <w:rsid w:val="6E297170"/>
    <w:rsid w:val="6E5231A4"/>
    <w:rsid w:val="6E5A40EE"/>
    <w:rsid w:val="6E671D27"/>
    <w:rsid w:val="6E6E6B53"/>
    <w:rsid w:val="6E7D48F4"/>
    <w:rsid w:val="6E8A64FD"/>
    <w:rsid w:val="6E9C16AF"/>
    <w:rsid w:val="6E9D390D"/>
    <w:rsid w:val="6EB76C30"/>
    <w:rsid w:val="6EB97BB5"/>
    <w:rsid w:val="6ECE49D4"/>
    <w:rsid w:val="6ED72B2B"/>
    <w:rsid w:val="6ED9046A"/>
    <w:rsid w:val="6EE10B05"/>
    <w:rsid w:val="6EEB713E"/>
    <w:rsid w:val="6EF115F9"/>
    <w:rsid w:val="6F0472BB"/>
    <w:rsid w:val="6F062965"/>
    <w:rsid w:val="6F0D763F"/>
    <w:rsid w:val="6F102BB9"/>
    <w:rsid w:val="6F17348E"/>
    <w:rsid w:val="6F1906FC"/>
    <w:rsid w:val="6F206808"/>
    <w:rsid w:val="6F2E0C37"/>
    <w:rsid w:val="6F45301C"/>
    <w:rsid w:val="6F474B62"/>
    <w:rsid w:val="6F537CC8"/>
    <w:rsid w:val="6F54013B"/>
    <w:rsid w:val="6F5B3B07"/>
    <w:rsid w:val="6F6000F3"/>
    <w:rsid w:val="6F7A7501"/>
    <w:rsid w:val="6FAA7810"/>
    <w:rsid w:val="6FAB7D95"/>
    <w:rsid w:val="6FAD23B4"/>
    <w:rsid w:val="6FAD5E72"/>
    <w:rsid w:val="6FBD7D61"/>
    <w:rsid w:val="6FC403D9"/>
    <w:rsid w:val="6FC42EAB"/>
    <w:rsid w:val="6FD101F3"/>
    <w:rsid w:val="6FDC5C4D"/>
    <w:rsid w:val="6FE54803"/>
    <w:rsid w:val="6FE54985"/>
    <w:rsid w:val="6FE60FC7"/>
    <w:rsid w:val="6FE856E7"/>
    <w:rsid w:val="6FEC7554"/>
    <w:rsid w:val="6FF1283A"/>
    <w:rsid w:val="6FF4469C"/>
    <w:rsid w:val="6FF70359"/>
    <w:rsid w:val="6FF77C50"/>
    <w:rsid w:val="6FF90C4A"/>
    <w:rsid w:val="702C7A97"/>
    <w:rsid w:val="70322B47"/>
    <w:rsid w:val="703C0D6E"/>
    <w:rsid w:val="70563262"/>
    <w:rsid w:val="705873A3"/>
    <w:rsid w:val="706630F4"/>
    <w:rsid w:val="709910D5"/>
    <w:rsid w:val="709B4AFB"/>
    <w:rsid w:val="70C15D8C"/>
    <w:rsid w:val="70D216D3"/>
    <w:rsid w:val="70F659AE"/>
    <w:rsid w:val="71010D74"/>
    <w:rsid w:val="710F7DD8"/>
    <w:rsid w:val="711F373C"/>
    <w:rsid w:val="71534AAE"/>
    <w:rsid w:val="716C54B9"/>
    <w:rsid w:val="717C638C"/>
    <w:rsid w:val="719B216D"/>
    <w:rsid w:val="71A40936"/>
    <w:rsid w:val="71B752EE"/>
    <w:rsid w:val="71C66F16"/>
    <w:rsid w:val="71DB12A7"/>
    <w:rsid w:val="71DE0262"/>
    <w:rsid w:val="72106F1F"/>
    <w:rsid w:val="7211200F"/>
    <w:rsid w:val="721E0247"/>
    <w:rsid w:val="722D57C7"/>
    <w:rsid w:val="724062B5"/>
    <w:rsid w:val="724A0704"/>
    <w:rsid w:val="724F46F0"/>
    <w:rsid w:val="724F472E"/>
    <w:rsid w:val="7255143F"/>
    <w:rsid w:val="72630696"/>
    <w:rsid w:val="726436E6"/>
    <w:rsid w:val="72651885"/>
    <w:rsid w:val="72700C83"/>
    <w:rsid w:val="727870BC"/>
    <w:rsid w:val="727E6483"/>
    <w:rsid w:val="728453D5"/>
    <w:rsid w:val="72916007"/>
    <w:rsid w:val="72935827"/>
    <w:rsid w:val="729937A7"/>
    <w:rsid w:val="729B6C7B"/>
    <w:rsid w:val="729B79DD"/>
    <w:rsid w:val="72A96531"/>
    <w:rsid w:val="72B6163B"/>
    <w:rsid w:val="72BB1BA7"/>
    <w:rsid w:val="72D051AC"/>
    <w:rsid w:val="72D05F60"/>
    <w:rsid w:val="72ED426C"/>
    <w:rsid w:val="72F91A90"/>
    <w:rsid w:val="730313CC"/>
    <w:rsid w:val="73035041"/>
    <w:rsid w:val="73073B1B"/>
    <w:rsid w:val="730A0309"/>
    <w:rsid w:val="730E33D2"/>
    <w:rsid w:val="731C314C"/>
    <w:rsid w:val="732927A3"/>
    <w:rsid w:val="73303587"/>
    <w:rsid w:val="73323045"/>
    <w:rsid w:val="73427202"/>
    <w:rsid w:val="734333B2"/>
    <w:rsid w:val="73473252"/>
    <w:rsid w:val="734B5436"/>
    <w:rsid w:val="73637990"/>
    <w:rsid w:val="73663A61"/>
    <w:rsid w:val="73671066"/>
    <w:rsid w:val="736F68EF"/>
    <w:rsid w:val="73812244"/>
    <w:rsid w:val="73861C37"/>
    <w:rsid w:val="739D6139"/>
    <w:rsid w:val="739E743E"/>
    <w:rsid w:val="73A875B8"/>
    <w:rsid w:val="73B02110"/>
    <w:rsid w:val="73CD7F8D"/>
    <w:rsid w:val="73CE0E30"/>
    <w:rsid w:val="73E20C0B"/>
    <w:rsid w:val="73F95D4E"/>
    <w:rsid w:val="74044161"/>
    <w:rsid w:val="74194164"/>
    <w:rsid w:val="741C0ACA"/>
    <w:rsid w:val="741C2B81"/>
    <w:rsid w:val="742D6B25"/>
    <w:rsid w:val="742D7EA2"/>
    <w:rsid w:val="744446C4"/>
    <w:rsid w:val="74524A6C"/>
    <w:rsid w:val="745D46B6"/>
    <w:rsid w:val="747E2170"/>
    <w:rsid w:val="749850D8"/>
    <w:rsid w:val="74994FF2"/>
    <w:rsid w:val="74A93ADB"/>
    <w:rsid w:val="74AB764B"/>
    <w:rsid w:val="74AF159D"/>
    <w:rsid w:val="74B94C23"/>
    <w:rsid w:val="74BA0C6B"/>
    <w:rsid w:val="74BB501E"/>
    <w:rsid w:val="74C03BE2"/>
    <w:rsid w:val="74C1629C"/>
    <w:rsid w:val="74EE31EA"/>
    <w:rsid w:val="74FA202A"/>
    <w:rsid w:val="74FA2880"/>
    <w:rsid w:val="75046088"/>
    <w:rsid w:val="75225CBF"/>
    <w:rsid w:val="7534240C"/>
    <w:rsid w:val="75350693"/>
    <w:rsid w:val="75371C19"/>
    <w:rsid w:val="7546677D"/>
    <w:rsid w:val="7548684B"/>
    <w:rsid w:val="754B2AC0"/>
    <w:rsid w:val="754D466C"/>
    <w:rsid w:val="754F4CC4"/>
    <w:rsid w:val="755C32D8"/>
    <w:rsid w:val="756E0B0A"/>
    <w:rsid w:val="757031D9"/>
    <w:rsid w:val="75750081"/>
    <w:rsid w:val="757C314C"/>
    <w:rsid w:val="75814167"/>
    <w:rsid w:val="75842DFC"/>
    <w:rsid w:val="759E72E5"/>
    <w:rsid w:val="75A667A1"/>
    <w:rsid w:val="75AB1086"/>
    <w:rsid w:val="75B9416A"/>
    <w:rsid w:val="75BE0722"/>
    <w:rsid w:val="75C07FC8"/>
    <w:rsid w:val="75C247F2"/>
    <w:rsid w:val="75CD7BB5"/>
    <w:rsid w:val="761C72F5"/>
    <w:rsid w:val="763255D2"/>
    <w:rsid w:val="76437D02"/>
    <w:rsid w:val="764B0BC9"/>
    <w:rsid w:val="764F1267"/>
    <w:rsid w:val="765120A6"/>
    <w:rsid w:val="766279A2"/>
    <w:rsid w:val="766D5F57"/>
    <w:rsid w:val="76752AAE"/>
    <w:rsid w:val="767F05D4"/>
    <w:rsid w:val="76807564"/>
    <w:rsid w:val="76B0479B"/>
    <w:rsid w:val="76BD6FDB"/>
    <w:rsid w:val="76BF7D3D"/>
    <w:rsid w:val="76C52AEB"/>
    <w:rsid w:val="76D264D4"/>
    <w:rsid w:val="76D33F40"/>
    <w:rsid w:val="76E66CF2"/>
    <w:rsid w:val="76E955C3"/>
    <w:rsid w:val="76F94659"/>
    <w:rsid w:val="76FD43AC"/>
    <w:rsid w:val="77073F57"/>
    <w:rsid w:val="77091725"/>
    <w:rsid w:val="77123ACC"/>
    <w:rsid w:val="77181A42"/>
    <w:rsid w:val="771E16D3"/>
    <w:rsid w:val="77247924"/>
    <w:rsid w:val="772B1B20"/>
    <w:rsid w:val="773B78A9"/>
    <w:rsid w:val="77510935"/>
    <w:rsid w:val="775846FD"/>
    <w:rsid w:val="775F45E6"/>
    <w:rsid w:val="77634F3B"/>
    <w:rsid w:val="777C6115"/>
    <w:rsid w:val="777F4D61"/>
    <w:rsid w:val="7793189B"/>
    <w:rsid w:val="77C522CE"/>
    <w:rsid w:val="77D039DB"/>
    <w:rsid w:val="77D36332"/>
    <w:rsid w:val="77D47475"/>
    <w:rsid w:val="77D547E3"/>
    <w:rsid w:val="77D558AA"/>
    <w:rsid w:val="77D62A56"/>
    <w:rsid w:val="77E62733"/>
    <w:rsid w:val="77ED4572"/>
    <w:rsid w:val="77F84B71"/>
    <w:rsid w:val="780E1955"/>
    <w:rsid w:val="78293DC3"/>
    <w:rsid w:val="782D2D9B"/>
    <w:rsid w:val="78303D52"/>
    <w:rsid w:val="78330E0B"/>
    <w:rsid w:val="78333364"/>
    <w:rsid w:val="783A6B2F"/>
    <w:rsid w:val="783F4F70"/>
    <w:rsid w:val="78553BB8"/>
    <w:rsid w:val="785B4C20"/>
    <w:rsid w:val="785D218D"/>
    <w:rsid w:val="78755E1D"/>
    <w:rsid w:val="78AB4E34"/>
    <w:rsid w:val="78B8567C"/>
    <w:rsid w:val="78BD7F9F"/>
    <w:rsid w:val="78DD2859"/>
    <w:rsid w:val="78F7615B"/>
    <w:rsid w:val="78FD2962"/>
    <w:rsid w:val="79073835"/>
    <w:rsid w:val="79175EB6"/>
    <w:rsid w:val="791F220A"/>
    <w:rsid w:val="79307089"/>
    <w:rsid w:val="79373219"/>
    <w:rsid w:val="794A4288"/>
    <w:rsid w:val="794C7980"/>
    <w:rsid w:val="7954036F"/>
    <w:rsid w:val="7963139E"/>
    <w:rsid w:val="7981755F"/>
    <w:rsid w:val="79822FDC"/>
    <w:rsid w:val="798B23A6"/>
    <w:rsid w:val="79981FE8"/>
    <w:rsid w:val="79A86542"/>
    <w:rsid w:val="79BE5E62"/>
    <w:rsid w:val="79BF626C"/>
    <w:rsid w:val="79D00261"/>
    <w:rsid w:val="79D72059"/>
    <w:rsid w:val="79E652F3"/>
    <w:rsid w:val="79EC33C3"/>
    <w:rsid w:val="79F67F8F"/>
    <w:rsid w:val="7A107C8F"/>
    <w:rsid w:val="7A1C1793"/>
    <w:rsid w:val="7A1C4DC7"/>
    <w:rsid w:val="7A2769D9"/>
    <w:rsid w:val="7A2E73B3"/>
    <w:rsid w:val="7A3A078E"/>
    <w:rsid w:val="7A45124E"/>
    <w:rsid w:val="7A47525B"/>
    <w:rsid w:val="7A4C7BCA"/>
    <w:rsid w:val="7A5955C8"/>
    <w:rsid w:val="7A7051EE"/>
    <w:rsid w:val="7A790613"/>
    <w:rsid w:val="7A7F307F"/>
    <w:rsid w:val="7A850292"/>
    <w:rsid w:val="7A864059"/>
    <w:rsid w:val="7A8759F4"/>
    <w:rsid w:val="7A8D3C3C"/>
    <w:rsid w:val="7A991285"/>
    <w:rsid w:val="7AAC03BC"/>
    <w:rsid w:val="7AB2157C"/>
    <w:rsid w:val="7AB64A22"/>
    <w:rsid w:val="7AC15EF1"/>
    <w:rsid w:val="7AC179AB"/>
    <w:rsid w:val="7AC25CC5"/>
    <w:rsid w:val="7AC528C4"/>
    <w:rsid w:val="7ACB2084"/>
    <w:rsid w:val="7ACE4545"/>
    <w:rsid w:val="7AD42E32"/>
    <w:rsid w:val="7ADD23D2"/>
    <w:rsid w:val="7AE04623"/>
    <w:rsid w:val="7AE80992"/>
    <w:rsid w:val="7AE9752E"/>
    <w:rsid w:val="7AEC1055"/>
    <w:rsid w:val="7AED3CDF"/>
    <w:rsid w:val="7AEF52E1"/>
    <w:rsid w:val="7AF51135"/>
    <w:rsid w:val="7AFE078F"/>
    <w:rsid w:val="7B0320BB"/>
    <w:rsid w:val="7B1E76B6"/>
    <w:rsid w:val="7B5204F9"/>
    <w:rsid w:val="7B5E2383"/>
    <w:rsid w:val="7B6E3852"/>
    <w:rsid w:val="7B745405"/>
    <w:rsid w:val="7B780677"/>
    <w:rsid w:val="7B911201"/>
    <w:rsid w:val="7B985F55"/>
    <w:rsid w:val="7B9C23E8"/>
    <w:rsid w:val="7BAE3A12"/>
    <w:rsid w:val="7BCB44ED"/>
    <w:rsid w:val="7BCD7043"/>
    <w:rsid w:val="7BDA2B39"/>
    <w:rsid w:val="7BDF7110"/>
    <w:rsid w:val="7C0815E0"/>
    <w:rsid w:val="7C274E7E"/>
    <w:rsid w:val="7C280E42"/>
    <w:rsid w:val="7C6F5D04"/>
    <w:rsid w:val="7C7F4F3C"/>
    <w:rsid w:val="7C9B44B6"/>
    <w:rsid w:val="7C9C55B4"/>
    <w:rsid w:val="7CA05EF4"/>
    <w:rsid w:val="7CA544A2"/>
    <w:rsid w:val="7CAD59A1"/>
    <w:rsid w:val="7CB347D7"/>
    <w:rsid w:val="7CCD67D7"/>
    <w:rsid w:val="7CE07511"/>
    <w:rsid w:val="7CE21673"/>
    <w:rsid w:val="7CE2570E"/>
    <w:rsid w:val="7CF45745"/>
    <w:rsid w:val="7D276660"/>
    <w:rsid w:val="7D295F33"/>
    <w:rsid w:val="7D393FED"/>
    <w:rsid w:val="7D4033FD"/>
    <w:rsid w:val="7D4D307B"/>
    <w:rsid w:val="7D4D5856"/>
    <w:rsid w:val="7D537A55"/>
    <w:rsid w:val="7D540062"/>
    <w:rsid w:val="7D583911"/>
    <w:rsid w:val="7D737A9C"/>
    <w:rsid w:val="7D826F26"/>
    <w:rsid w:val="7D933791"/>
    <w:rsid w:val="7D967F99"/>
    <w:rsid w:val="7DA50C13"/>
    <w:rsid w:val="7DAA16F6"/>
    <w:rsid w:val="7DB61C4E"/>
    <w:rsid w:val="7DD040B2"/>
    <w:rsid w:val="7DDA79B6"/>
    <w:rsid w:val="7DE14EF9"/>
    <w:rsid w:val="7DED63B1"/>
    <w:rsid w:val="7DF0751D"/>
    <w:rsid w:val="7E0E51B0"/>
    <w:rsid w:val="7E183EEA"/>
    <w:rsid w:val="7E440B2B"/>
    <w:rsid w:val="7E4851EA"/>
    <w:rsid w:val="7E4A22B2"/>
    <w:rsid w:val="7E4F61B6"/>
    <w:rsid w:val="7E6752B6"/>
    <w:rsid w:val="7E694F72"/>
    <w:rsid w:val="7E717A7B"/>
    <w:rsid w:val="7E77254B"/>
    <w:rsid w:val="7E80292D"/>
    <w:rsid w:val="7E805FD1"/>
    <w:rsid w:val="7E84382C"/>
    <w:rsid w:val="7E855AE7"/>
    <w:rsid w:val="7E9B065D"/>
    <w:rsid w:val="7E9D718F"/>
    <w:rsid w:val="7EA7411B"/>
    <w:rsid w:val="7EA874D5"/>
    <w:rsid w:val="7EAA0221"/>
    <w:rsid w:val="7EB02A3C"/>
    <w:rsid w:val="7EB714C1"/>
    <w:rsid w:val="7EB835B8"/>
    <w:rsid w:val="7EC301BA"/>
    <w:rsid w:val="7ED326C7"/>
    <w:rsid w:val="7EFB70B7"/>
    <w:rsid w:val="7F0A6F2E"/>
    <w:rsid w:val="7F21551C"/>
    <w:rsid w:val="7F234D02"/>
    <w:rsid w:val="7F251450"/>
    <w:rsid w:val="7F317B7F"/>
    <w:rsid w:val="7F381A47"/>
    <w:rsid w:val="7F3932D6"/>
    <w:rsid w:val="7F3B3199"/>
    <w:rsid w:val="7F3D07F6"/>
    <w:rsid w:val="7F4D23DA"/>
    <w:rsid w:val="7F5458D0"/>
    <w:rsid w:val="7F613C7E"/>
    <w:rsid w:val="7F63160A"/>
    <w:rsid w:val="7F64085D"/>
    <w:rsid w:val="7F65557D"/>
    <w:rsid w:val="7F666046"/>
    <w:rsid w:val="7F827F3A"/>
    <w:rsid w:val="7F886A6A"/>
    <w:rsid w:val="7F912BF1"/>
    <w:rsid w:val="7FA4150B"/>
    <w:rsid w:val="7FA51D95"/>
    <w:rsid w:val="7FCC65E5"/>
    <w:rsid w:val="7FD25345"/>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0</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2025-10-03T10:35:36Z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